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C6" w:rsidRDefault="002B3EC6" w:rsidP="002B3EC6">
      <w:pPr>
        <w:pStyle w:val="Default"/>
      </w:pPr>
    </w:p>
    <w:p w:rsidR="002B3EC6" w:rsidRDefault="002B3EC6" w:rsidP="002B3EC6">
      <w:pPr>
        <w:pStyle w:val="Default"/>
        <w:rPr>
          <w:sz w:val="36"/>
          <w:szCs w:val="36"/>
        </w:rPr>
      </w:pPr>
      <w:r>
        <w:rPr>
          <w:sz w:val="36"/>
          <w:szCs w:val="36"/>
        </w:rPr>
        <w:t>Diabetes C</w:t>
      </w:r>
      <w:r w:rsidR="00927368">
        <w:rPr>
          <w:sz w:val="36"/>
          <w:szCs w:val="36"/>
        </w:rPr>
        <w:t>ommercial</w:t>
      </w:r>
      <w:r>
        <w:rPr>
          <w:sz w:val="36"/>
          <w:szCs w:val="36"/>
        </w:rPr>
        <w:t xml:space="preserve"> Clinical Research Fellow </w:t>
      </w:r>
    </w:p>
    <w:p w:rsidR="002B3EC6" w:rsidRDefault="002B3EC6" w:rsidP="002B3E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Further Particulars </w:t>
      </w:r>
    </w:p>
    <w:p w:rsidR="00817DAD" w:rsidRDefault="00817DAD" w:rsidP="002B3EC6">
      <w:pPr>
        <w:pStyle w:val="Default"/>
        <w:rPr>
          <w:b/>
          <w:bCs/>
          <w:sz w:val="22"/>
          <w:szCs w:val="22"/>
        </w:rPr>
      </w:pPr>
    </w:p>
    <w:p w:rsidR="002B3EC6" w:rsidRDefault="002B3EC6" w:rsidP="002B3E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Job Title and Reporting </w:t>
      </w:r>
    </w:p>
    <w:p w:rsidR="002B3EC6" w:rsidRDefault="002B3EC6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Job Title: Clinical Research Fellow 1.0 FTE</w:t>
      </w:r>
    </w:p>
    <w:p w:rsidR="002B3EC6" w:rsidRDefault="002B3EC6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Grade of Post/Salary: </w:t>
      </w:r>
      <w:r w:rsidR="00927368">
        <w:rPr>
          <w:sz w:val="22"/>
          <w:szCs w:val="22"/>
        </w:rPr>
        <w:t xml:space="preserve">ST3 or </w:t>
      </w:r>
      <w:r>
        <w:rPr>
          <w:sz w:val="22"/>
          <w:szCs w:val="22"/>
        </w:rPr>
        <w:t>ST4</w:t>
      </w:r>
    </w:p>
    <w:p w:rsidR="002B3EC6" w:rsidRDefault="002B3EC6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Day to Day Reporting to: Professor </w:t>
      </w:r>
      <w:r w:rsidR="00927368">
        <w:rPr>
          <w:sz w:val="22"/>
          <w:szCs w:val="22"/>
        </w:rPr>
        <w:t>Rory McCrimmon</w:t>
      </w:r>
    </w:p>
    <w:p w:rsidR="002B3EC6" w:rsidRDefault="002B3EC6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Duration of employment: 2 years from </w:t>
      </w:r>
      <w:r w:rsidR="0016091F">
        <w:rPr>
          <w:sz w:val="22"/>
          <w:szCs w:val="22"/>
        </w:rPr>
        <w:t>February</w:t>
      </w:r>
      <w:r>
        <w:rPr>
          <w:sz w:val="22"/>
          <w:szCs w:val="22"/>
        </w:rPr>
        <w:t xml:space="preserve"> 202</w:t>
      </w:r>
      <w:r w:rsidR="00387547">
        <w:rPr>
          <w:sz w:val="22"/>
          <w:szCs w:val="22"/>
        </w:rPr>
        <w:t>6</w:t>
      </w:r>
    </w:p>
    <w:p w:rsidR="00817DAD" w:rsidRDefault="00817DAD" w:rsidP="002B3EC6">
      <w:pPr>
        <w:pStyle w:val="Default"/>
        <w:rPr>
          <w:b/>
          <w:bCs/>
          <w:sz w:val="22"/>
          <w:szCs w:val="22"/>
        </w:rPr>
      </w:pPr>
    </w:p>
    <w:p w:rsidR="002B3EC6" w:rsidRDefault="002B3EC6" w:rsidP="002B3E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Role Purpose </w:t>
      </w:r>
    </w:p>
    <w:p w:rsidR="00AC0471" w:rsidRDefault="002B3EC6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Diabetes </w:t>
      </w:r>
      <w:r w:rsidR="00817DAD">
        <w:rPr>
          <w:sz w:val="22"/>
          <w:szCs w:val="22"/>
        </w:rPr>
        <w:t>clinical research team a</w:t>
      </w:r>
      <w:r w:rsidR="00446D9F">
        <w:rPr>
          <w:sz w:val="22"/>
          <w:szCs w:val="22"/>
        </w:rPr>
        <w:t xml:space="preserve">t NHS Tayside are a UK leading recruitment centre for diabetes and </w:t>
      </w:r>
      <w:r w:rsidR="00AC0471">
        <w:rPr>
          <w:sz w:val="22"/>
          <w:szCs w:val="22"/>
        </w:rPr>
        <w:t xml:space="preserve">metabolic disease commercial and non-commercial research with an active portfolio of </w:t>
      </w:r>
      <w:r w:rsidR="00B14B29">
        <w:rPr>
          <w:sz w:val="22"/>
          <w:szCs w:val="22"/>
        </w:rPr>
        <w:t>trials in recruitment and follow up at any particular time.</w:t>
      </w:r>
    </w:p>
    <w:p w:rsidR="00B14B29" w:rsidRPr="00E448BD" w:rsidRDefault="00B14B29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Recently commercial trials have been awarded which require </w:t>
      </w:r>
      <w:r w:rsidR="00977A5F">
        <w:rPr>
          <w:sz w:val="22"/>
          <w:szCs w:val="22"/>
        </w:rPr>
        <w:t xml:space="preserve">additional medical resource and </w:t>
      </w:r>
      <w:r w:rsidR="00E448BD">
        <w:rPr>
          <w:sz w:val="22"/>
          <w:szCs w:val="22"/>
        </w:rPr>
        <w:t xml:space="preserve">include </w:t>
      </w:r>
      <w:r w:rsidR="00977A5F">
        <w:rPr>
          <w:sz w:val="22"/>
          <w:szCs w:val="22"/>
        </w:rPr>
        <w:t xml:space="preserve">the possibility to engage with the </w:t>
      </w:r>
      <w:r w:rsidR="00E448BD">
        <w:rPr>
          <w:sz w:val="22"/>
          <w:szCs w:val="22"/>
        </w:rPr>
        <w:t xml:space="preserve">NIHR </w:t>
      </w:r>
      <w:r w:rsidR="00977A5F">
        <w:rPr>
          <w:sz w:val="22"/>
          <w:szCs w:val="22"/>
        </w:rPr>
        <w:t xml:space="preserve">Associate PI scheme </w:t>
      </w:r>
      <w:hyperlink w:history="1">
        <w:r w:rsidR="0076319C" w:rsidRPr="00E448BD">
          <w:rPr>
            <w:rStyle w:val="Hyperlink"/>
            <w:sz w:val="22"/>
            <w:szCs w:val="22"/>
          </w:rPr>
          <w:t>Associate Principal Investigator Scheme | NIHR</w:t>
        </w:r>
      </w:hyperlink>
      <w:r w:rsidR="00E448BD" w:rsidRPr="00E448BD">
        <w:rPr>
          <w:sz w:val="22"/>
          <w:szCs w:val="22"/>
        </w:rPr>
        <w:t xml:space="preserve"> in preparation </w:t>
      </w:r>
      <w:r w:rsidR="00127BF0">
        <w:rPr>
          <w:sz w:val="22"/>
          <w:szCs w:val="22"/>
        </w:rPr>
        <w:t>and training for future PI roles in CTIMPs.</w:t>
      </w:r>
    </w:p>
    <w:p w:rsidR="0076319C" w:rsidRPr="00E448BD" w:rsidRDefault="0076319C" w:rsidP="002B3EC6">
      <w:pPr>
        <w:pStyle w:val="Default"/>
        <w:rPr>
          <w:sz w:val="22"/>
          <w:szCs w:val="22"/>
        </w:rPr>
      </w:pPr>
    </w:p>
    <w:p w:rsidR="004E5447" w:rsidRDefault="008052F7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Diabetes and metabolic disease research takes place from the Clinical Research Centre, the new</w:t>
      </w:r>
      <w:r w:rsidR="00F925E1">
        <w:rPr>
          <w:sz w:val="22"/>
          <w:szCs w:val="22"/>
        </w:rPr>
        <w:t>ly established</w:t>
      </w:r>
      <w:r>
        <w:rPr>
          <w:sz w:val="22"/>
          <w:szCs w:val="22"/>
        </w:rPr>
        <w:t xml:space="preserve"> Commercial Research Delivery Centre</w:t>
      </w:r>
      <w:r w:rsidR="00F925E1">
        <w:rPr>
          <w:sz w:val="22"/>
          <w:szCs w:val="22"/>
        </w:rPr>
        <w:t xml:space="preserve"> (CRDC) rooms on level 7</w:t>
      </w:r>
      <w:r>
        <w:rPr>
          <w:sz w:val="22"/>
          <w:szCs w:val="22"/>
        </w:rPr>
        <w:t xml:space="preserve"> and the Strathmore Diabetes Centre Research Rooms</w:t>
      </w:r>
      <w:r w:rsidR="009649F8">
        <w:rPr>
          <w:sz w:val="22"/>
          <w:szCs w:val="22"/>
        </w:rPr>
        <w:t xml:space="preserve">, as well as from adjunct hospital sites such as Perth Royal Infirmary </w:t>
      </w:r>
      <w:proofErr w:type="spellStart"/>
      <w:proofErr w:type="gramStart"/>
      <w:r w:rsidR="009649F8">
        <w:rPr>
          <w:sz w:val="22"/>
          <w:szCs w:val="22"/>
        </w:rPr>
        <w:t>Gan</w:t>
      </w:r>
      <w:r w:rsidR="004E5447">
        <w:rPr>
          <w:sz w:val="22"/>
          <w:szCs w:val="22"/>
        </w:rPr>
        <w:t>nochy</w:t>
      </w:r>
      <w:proofErr w:type="spellEnd"/>
      <w:r w:rsidR="004E5447">
        <w:rPr>
          <w:sz w:val="22"/>
          <w:szCs w:val="22"/>
        </w:rPr>
        <w:t xml:space="preserve"> Suite.</w:t>
      </w:r>
      <w:proofErr w:type="gramEnd"/>
    </w:p>
    <w:p w:rsidR="004E5447" w:rsidRDefault="004E5447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programme of trials includes </w:t>
      </w:r>
      <w:r w:rsidR="0074086C">
        <w:rPr>
          <w:sz w:val="22"/>
          <w:szCs w:val="22"/>
        </w:rPr>
        <w:t xml:space="preserve">CTIMPs </w:t>
      </w:r>
      <w:r>
        <w:rPr>
          <w:sz w:val="22"/>
          <w:szCs w:val="22"/>
        </w:rPr>
        <w:t>on oral GLP-1s</w:t>
      </w:r>
      <w:r w:rsidR="003F1E71">
        <w:rPr>
          <w:sz w:val="22"/>
          <w:szCs w:val="22"/>
        </w:rPr>
        <w:t>,</w:t>
      </w:r>
      <w:r w:rsidR="00894014">
        <w:rPr>
          <w:sz w:val="22"/>
          <w:szCs w:val="22"/>
        </w:rPr>
        <w:t xml:space="preserve"> amylin receptor agonists</w:t>
      </w:r>
      <w:r>
        <w:rPr>
          <w:sz w:val="22"/>
          <w:szCs w:val="22"/>
        </w:rPr>
        <w:t xml:space="preserve"> and </w:t>
      </w:r>
      <w:r w:rsidR="003F1E71">
        <w:rPr>
          <w:sz w:val="22"/>
          <w:szCs w:val="22"/>
        </w:rPr>
        <w:t>aldosterone reductase inhibitors</w:t>
      </w:r>
      <w:r w:rsidR="00894014">
        <w:rPr>
          <w:sz w:val="22"/>
          <w:szCs w:val="22"/>
        </w:rPr>
        <w:t xml:space="preserve">.  </w:t>
      </w:r>
      <w:r w:rsidR="00D87B15">
        <w:rPr>
          <w:sz w:val="22"/>
          <w:szCs w:val="22"/>
        </w:rPr>
        <w:t>Medical d</w:t>
      </w:r>
      <w:r w:rsidR="00894014">
        <w:rPr>
          <w:sz w:val="22"/>
          <w:szCs w:val="22"/>
        </w:rPr>
        <w:t xml:space="preserve">evice studies </w:t>
      </w:r>
      <w:r w:rsidR="00D87B15">
        <w:rPr>
          <w:sz w:val="22"/>
          <w:szCs w:val="22"/>
        </w:rPr>
        <w:t xml:space="preserve">that support diabetes care </w:t>
      </w:r>
      <w:r w:rsidR="00894014">
        <w:rPr>
          <w:sz w:val="22"/>
          <w:szCs w:val="22"/>
        </w:rPr>
        <w:t>are also ongoing</w:t>
      </w:r>
      <w:r w:rsidR="00431A5B">
        <w:rPr>
          <w:sz w:val="22"/>
          <w:szCs w:val="22"/>
        </w:rPr>
        <w:t>.</w:t>
      </w:r>
    </w:p>
    <w:p w:rsidR="004E5447" w:rsidRDefault="004E5447" w:rsidP="002B3EC6">
      <w:pPr>
        <w:pStyle w:val="Default"/>
        <w:rPr>
          <w:sz w:val="22"/>
          <w:szCs w:val="22"/>
        </w:rPr>
      </w:pPr>
    </w:p>
    <w:p w:rsidR="00360FEF" w:rsidRDefault="002B3EC6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research fellow will </w:t>
      </w:r>
      <w:r w:rsidR="00041999">
        <w:rPr>
          <w:sz w:val="22"/>
          <w:szCs w:val="22"/>
        </w:rPr>
        <w:t xml:space="preserve">support pre-screening of patient records </w:t>
      </w:r>
      <w:r w:rsidR="00F9285D">
        <w:rPr>
          <w:sz w:val="22"/>
          <w:szCs w:val="22"/>
        </w:rPr>
        <w:t>to assess for</w:t>
      </w:r>
      <w:r w:rsidR="00041999">
        <w:rPr>
          <w:sz w:val="22"/>
          <w:szCs w:val="22"/>
        </w:rPr>
        <w:t xml:space="preserve"> </w:t>
      </w:r>
      <w:proofErr w:type="spellStart"/>
      <w:r w:rsidR="00041999">
        <w:rPr>
          <w:sz w:val="22"/>
          <w:szCs w:val="22"/>
        </w:rPr>
        <w:t>eligibl</w:t>
      </w:r>
      <w:r w:rsidR="00F9285D">
        <w:rPr>
          <w:sz w:val="22"/>
          <w:szCs w:val="22"/>
        </w:rPr>
        <w:t>ity</w:t>
      </w:r>
      <w:proofErr w:type="spellEnd"/>
      <w:r w:rsidR="0004199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help co-ordinate the recruitment of patients </w:t>
      </w:r>
      <w:r w:rsidR="00431A5B">
        <w:rPr>
          <w:sz w:val="22"/>
          <w:szCs w:val="22"/>
        </w:rPr>
        <w:t xml:space="preserve">into </w:t>
      </w:r>
      <w:r w:rsidR="000C1318">
        <w:rPr>
          <w:sz w:val="22"/>
          <w:szCs w:val="22"/>
        </w:rPr>
        <w:t xml:space="preserve">trials, </w:t>
      </w:r>
      <w:r w:rsidR="00F9285D">
        <w:rPr>
          <w:sz w:val="22"/>
          <w:szCs w:val="22"/>
        </w:rPr>
        <w:t>carry out research visit</w:t>
      </w:r>
      <w:r w:rsidR="0016476C">
        <w:rPr>
          <w:sz w:val="22"/>
          <w:szCs w:val="22"/>
        </w:rPr>
        <w:t xml:space="preserve"> activities </w:t>
      </w:r>
      <w:r w:rsidR="00890971">
        <w:rPr>
          <w:sz w:val="22"/>
          <w:szCs w:val="22"/>
        </w:rPr>
        <w:t>including prescribing deci</w:t>
      </w:r>
      <w:r w:rsidR="00FD3A21">
        <w:rPr>
          <w:sz w:val="22"/>
          <w:szCs w:val="22"/>
        </w:rPr>
        <w:t xml:space="preserve">sions and dose escalation. A priority will be to </w:t>
      </w:r>
      <w:r>
        <w:rPr>
          <w:sz w:val="22"/>
          <w:szCs w:val="22"/>
        </w:rPr>
        <w:t xml:space="preserve">ensure the </w:t>
      </w:r>
      <w:r w:rsidR="00041999">
        <w:rPr>
          <w:sz w:val="22"/>
          <w:szCs w:val="22"/>
        </w:rPr>
        <w:t xml:space="preserve">successful retention of </w:t>
      </w:r>
      <w:r w:rsidR="00064F97">
        <w:rPr>
          <w:sz w:val="22"/>
          <w:szCs w:val="22"/>
        </w:rPr>
        <w:t xml:space="preserve">these </w:t>
      </w:r>
      <w:r w:rsidR="00041999">
        <w:rPr>
          <w:sz w:val="22"/>
          <w:szCs w:val="22"/>
        </w:rPr>
        <w:t>participants</w:t>
      </w:r>
      <w:r w:rsidR="00FD3A21">
        <w:rPr>
          <w:sz w:val="22"/>
          <w:szCs w:val="22"/>
        </w:rPr>
        <w:t xml:space="preserve"> for the full duration of the research as far as possible</w:t>
      </w:r>
      <w:r>
        <w:rPr>
          <w:sz w:val="22"/>
          <w:szCs w:val="22"/>
        </w:rPr>
        <w:t xml:space="preserve">. </w:t>
      </w:r>
      <w:r w:rsidR="00064F97">
        <w:rPr>
          <w:sz w:val="22"/>
          <w:szCs w:val="22"/>
        </w:rPr>
        <w:t xml:space="preserve">The post holder will work alongside </w:t>
      </w:r>
      <w:r w:rsidR="00360FEF">
        <w:rPr>
          <w:sz w:val="22"/>
          <w:szCs w:val="22"/>
        </w:rPr>
        <w:t>experienced</w:t>
      </w:r>
      <w:r w:rsidR="002247D4">
        <w:rPr>
          <w:sz w:val="22"/>
          <w:szCs w:val="22"/>
        </w:rPr>
        <w:t xml:space="preserve"> research doctor</w:t>
      </w:r>
      <w:r w:rsidR="001552AB">
        <w:rPr>
          <w:sz w:val="22"/>
          <w:szCs w:val="22"/>
        </w:rPr>
        <w:t>s</w:t>
      </w:r>
      <w:r w:rsidR="002247D4">
        <w:rPr>
          <w:sz w:val="22"/>
          <w:szCs w:val="22"/>
        </w:rPr>
        <w:t xml:space="preserve"> and a team of clinical research nurses and other research delivery personnel</w:t>
      </w:r>
      <w:r w:rsidR="00360FEF">
        <w:rPr>
          <w:sz w:val="22"/>
          <w:szCs w:val="22"/>
        </w:rPr>
        <w:t>.</w:t>
      </w:r>
    </w:p>
    <w:p w:rsidR="00360FEF" w:rsidRDefault="00360FEF" w:rsidP="002B3EC6">
      <w:pPr>
        <w:pStyle w:val="Default"/>
        <w:rPr>
          <w:sz w:val="22"/>
          <w:szCs w:val="22"/>
        </w:rPr>
      </w:pPr>
    </w:p>
    <w:p w:rsidR="002B3EC6" w:rsidRDefault="00360FEF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addition,</w:t>
      </w:r>
      <w:r w:rsidR="002B3EC6">
        <w:rPr>
          <w:sz w:val="22"/>
          <w:szCs w:val="22"/>
        </w:rPr>
        <w:t xml:space="preserve"> the post is a clinical research post and you will shape your research plan based upon your interests and expertise. Clinically, you will help with the clinical program of the research that includes addressing </w:t>
      </w:r>
      <w:r w:rsidR="0030466A">
        <w:rPr>
          <w:sz w:val="22"/>
          <w:szCs w:val="22"/>
        </w:rPr>
        <w:t>diabetes care</w:t>
      </w:r>
      <w:r w:rsidR="002B3EC6">
        <w:rPr>
          <w:sz w:val="22"/>
          <w:szCs w:val="22"/>
        </w:rPr>
        <w:t xml:space="preserve"> issues. Although this position is fully funded we would anticipate you working with your supervisor to apply for external funding from Diabetes UK, the MRC or other funders. You will undertake a substantial project leading to papers in peer-reviewed journals, presentations at national and international conferences, which will form the basis for an MD thesis. </w:t>
      </w:r>
    </w:p>
    <w:p w:rsidR="002B3EC6" w:rsidRDefault="00172B60" w:rsidP="002B3E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Examples of potential research projects linked to currently funded academic clinical trials include the study of multimorbidity in Type 1 diabetes and the impact of </w:t>
      </w:r>
      <w:proofErr w:type="spellStart"/>
      <w:r>
        <w:rPr>
          <w:sz w:val="22"/>
          <w:szCs w:val="22"/>
        </w:rPr>
        <w:t>Sotagliflozin</w:t>
      </w:r>
      <w:proofErr w:type="spellEnd"/>
      <w:r>
        <w:rPr>
          <w:sz w:val="22"/>
          <w:szCs w:val="22"/>
        </w:rPr>
        <w:t xml:space="preserve"> on Heart Failure in Type 1 diabetes, but other areas of research are also possible dependent on the interests and skills of the successful candidate</w:t>
      </w:r>
      <w:r w:rsidR="00406C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2B3EC6" w:rsidRDefault="002B3EC6" w:rsidP="002B3EC6">
      <w:pPr>
        <w:pStyle w:val="Default"/>
        <w:rPr>
          <w:color w:val="auto"/>
        </w:rPr>
      </w:pPr>
    </w:p>
    <w:p w:rsidR="002B3EC6" w:rsidRDefault="002B3EC6" w:rsidP="002B3EC6">
      <w:pPr>
        <w:pStyle w:val="Default"/>
        <w:pageBreakBefore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Depending on the project you will develop skills in data analysis in a safe haven </w:t>
      </w:r>
      <w:proofErr w:type="gramStart"/>
      <w:r>
        <w:rPr>
          <w:color w:val="auto"/>
          <w:sz w:val="22"/>
          <w:szCs w:val="22"/>
        </w:rPr>
        <w:t>environment,</w:t>
      </w:r>
      <w:proofErr w:type="gramEnd"/>
      <w:r>
        <w:rPr>
          <w:color w:val="auto"/>
          <w:sz w:val="22"/>
          <w:szCs w:val="22"/>
        </w:rPr>
        <w:t xml:space="preserve"> other experimental medicine approaches (clamps, mixed meal tolerance tests). You will form part of an increasing cohort of clinical fellows, non-clinical fellows and data analysts pioneering approaches to precision medicine implementation. </w:t>
      </w:r>
    </w:p>
    <w:p w:rsidR="00560910" w:rsidRDefault="00560910" w:rsidP="002B3EC6">
      <w:pPr>
        <w:pStyle w:val="Default"/>
        <w:rPr>
          <w:b/>
          <w:bCs/>
          <w:color w:val="auto"/>
          <w:sz w:val="22"/>
          <w:szCs w:val="22"/>
        </w:rPr>
      </w:pPr>
    </w:p>
    <w:p w:rsidR="002B3EC6" w:rsidRDefault="002B3EC6" w:rsidP="002B3EC6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Your priorities will include: </w:t>
      </w:r>
    </w:p>
    <w:p w:rsidR="00560910" w:rsidRPr="00612763" w:rsidRDefault="00560910" w:rsidP="00560910">
      <w:pPr>
        <w:pStyle w:val="Default"/>
        <w:spacing w:after="18"/>
        <w:rPr>
          <w:color w:val="auto"/>
          <w:sz w:val="22"/>
          <w:szCs w:val="22"/>
        </w:rPr>
      </w:pPr>
      <w:r w:rsidRPr="00612763">
        <w:rPr>
          <w:color w:val="auto"/>
          <w:sz w:val="22"/>
          <w:szCs w:val="22"/>
        </w:rPr>
        <w:t>• Clinical studies – res</w:t>
      </w:r>
      <w:r w:rsidR="00612763" w:rsidRPr="00612763">
        <w:rPr>
          <w:color w:val="auto"/>
          <w:sz w:val="22"/>
          <w:szCs w:val="22"/>
        </w:rPr>
        <w:t xml:space="preserve">earch visits, </w:t>
      </w:r>
      <w:r w:rsidRPr="00612763">
        <w:rPr>
          <w:color w:val="auto"/>
          <w:sz w:val="22"/>
          <w:szCs w:val="22"/>
        </w:rPr>
        <w:t xml:space="preserve">imaging, experimental medicine </w:t>
      </w:r>
      <w:r w:rsidR="00612763" w:rsidRPr="00612763">
        <w:rPr>
          <w:color w:val="auto"/>
          <w:sz w:val="22"/>
          <w:szCs w:val="22"/>
        </w:rPr>
        <w:t>procedures</w:t>
      </w:r>
      <w:r w:rsidR="00C14234">
        <w:rPr>
          <w:color w:val="auto"/>
          <w:sz w:val="22"/>
          <w:szCs w:val="22"/>
        </w:rPr>
        <w:t>.</w:t>
      </w:r>
    </w:p>
    <w:p w:rsidR="00560910" w:rsidRPr="00612763" w:rsidRDefault="00560910" w:rsidP="00560910">
      <w:pPr>
        <w:pStyle w:val="Default"/>
        <w:spacing w:after="18"/>
        <w:rPr>
          <w:color w:val="auto"/>
          <w:sz w:val="22"/>
          <w:szCs w:val="22"/>
        </w:rPr>
      </w:pPr>
      <w:r w:rsidRPr="00612763">
        <w:rPr>
          <w:color w:val="auto"/>
          <w:sz w:val="22"/>
          <w:szCs w:val="22"/>
        </w:rPr>
        <w:t>• Team-working with colleagues in the School of Medicine</w:t>
      </w:r>
      <w:r w:rsidR="00C14234">
        <w:rPr>
          <w:color w:val="auto"/>
          <w:sz w:val="22"/>
          <w:szCs w:val="22"/>
        </w:rPr>
        <w:t>.</w:t>
      </w:r>
    </w:p>
    <w:p w:rsidR="00560910" w:rsidRPr="00612763" w:rsidRDefault="00560910" w:rsidP="00560910">
      <w:pPr>
        <w:pStyle w:val="Default"/>
        <w:rPr>
          <w:color w:val="auto"/>
          <w:sz w:val="22"/>
          <w:szCs w:val="22"/>
        </w:rPr>
      </w:pPr>
      <w:r w:rsidRPr="00612763">
        <w:rPr>
          <w:color w:val="auto"/>
          <w:sz w:val="22"/>
          <w:szCs w:val="22"/>
        </w:rPr>
        <w:t>• Preparation of manuscripts and abstracts reporting research findings.</w:t>
      </w:r>
    </w:p>
    <w:p w:rsidR="002B3EC6" w:rsidRPr="00612763" w:rsidRDefault="002B3EC6" w:rsidP="00560910">
      <w:pPr>
        <w:pStyle w:val="Default"/>
        <w:spacing w:after="18"/>
        <w:rPr>
          <w:color w:val="auto"/>
          <w:sz w:val="22"/>
          <w:szCs w:val="22"/>
        </w:rPr>
      </w:pPr>
      <w:r w:rsidRPr="00612763">
        <w:rPr>
          <w:color w:val="auto"/>
          <w:sz w:val="22"/>
          <w:szCs w:val="22"/>
        </w:rPr>
        <w:t xml:space="preserve">• Liaising with primary and secondary care regarding diagnosis and management of patients within the </w:t>
      </w:r>
      <w:r w:rsidR="00560910" w:rsidRPr="00612763">
        <w:rPr>
          <w:color w:val="auto"/>
          <w:sz w:val="22"/>
          <w:szCs w:val="22"/>
        </w:rPr>
        <w:t>commercial clinical trials</w:t>
      </w:r>
      <w:r w:rsidR="00C14234">
        <w:rPr>
          <w:color w:val="auto"/>
          <w:sz w:val="22"/>
          <w:szCs w:val="22"/>
        </w:rPr>
        <w:t>.</w:t>
      </w:r>
    </w:p>
    <w:p w:rsidR="002B3EC6" w:rsidRDefault="002B3EC6" w:rsidP="002B3EC6">
      <w:pPr>
        <w:pStyle w:val="Default"/>
        <w:rPr>
          <w:color w:val="auto"/>
          <w:sz w:val="20"/>
          <w:szCs w:val="20"/>
        </w:rPr>
      </w:pPr>
    </w:p>
    <w:p w:rsidR="002B3EC6" w:rsidRDefault="002B3EC6" w:rsidP="002B3EC6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Who we’re looking for: </w:t>
      </w:r>
    </w:p>
    <w:p w:rsidR="002B3EC6" w:rsidRDefault="002B3EC6" w:rsidP="00612763">
      <w:pPr>
        <w:pStyle w:val="Default"/>
        <w:spacing w:after="15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• </w:t>
      </w:r>
      <w:r>
        <w:rPr>
          <w:color w:val="auto"/>
          <w:sz w:val="22"/>
          <w:szCs w:val="22"/>
        </w:rPr>
        <w:t xml:space="preserve">Doctors in training who have completed core medical training or those in specialist registrar posts looking for out-of-programme research. </w:t>
      </w:r>
    </w:p>
    <w:p w:rsidR="002B3EC6" w:rsidRDefault="002B3EC6" w:rsidP="00B570C4">
      <w:pPr>
        <w:pStyle w:val="Default"/>
        <w:spacing w:after="15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• </w:t>
      </w:r>
      <w:r>
        <w:rPr>
          <w:color w:val="auto"/>
          <w:sz w:val="22"/>
          <w:szCs w:val="22"/>
        </w:rPr>
        <w:t xml:space="preserve">Whilst successful applicants need not have undertaken research before, we will be looking for evidence of drive and enthusiasm for clinical academia. </w:t>
      </w:r>
    </w:p>
    <w:p w:rsidR="002B3EC6" w:rsidRDefault="002B3EC6" w:rsidP="00B570C4">
      <w:pPr>
        <w:pStyle w:val="Default"/>
        <w:spacing w:after="15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• </w:t>
      </w:r>
      <w:r>
        <w:rPr>
          <w:color w:val="auto"/>
          <w:sz w:val="22"/>
          <w:szCs w:val="22"/>
        </w:rPr>
        <w:t xml:space="preserve">Doctors with clinical </w:t>
      </w:r>
      <w:r w:rsidR="00B570C4">
        <w:rPr>
          <w:color w:val="auto"/>
          <w:sz w:val="22"/>
          <w:szCs w:val="22"/>
        </w:rPr>
        <w:t xml:space="preserve">diabetes and endocrinology </w:t>
      </w:r>
      <w:r>
        <w:rPr>
          <w:color w:val="auto"/>
          <w:sz w:val="22"/>
          <w:szCs w:val="22"/>
        </w:rPr>
        <w:t>experience</w:t>
      </w:r>
      <w:r w:rsidR="00580648">
        <w:rPr>
          <w:color w:val="auto"/>
          <w:sz w:val="22"/>
          <w:szCs w:val="22"/>
        </w:rPr>
        <w:t>.</w:t>
      </w:r>
    </w:p>
    <w:p w:rsidR="002B3EC6" w:rsidRPr="00B570C4" w:rsidRDefault="002B3EC6" w:rsidP="00B570C4">
      <w:pPr>
        <w:pStyle w:val="Default"/>
        <w:rPr>
          <w:color w:val="auto"/>
          <w:sz w:val="22"/>
          <w:szCs w:val="22"/>
        </w:rPr>
      </w:pPr>
      <w:r w:rsidRPr="00B570C4">
        <w:rPr>
          <w:color w:val="auto"/>
          <w:sz w:val="22"/>
          <w:szCs w:val="22"/>
        </w:rPr>
        <w:t>• Doctors must be registered with the GMC and be licensed to practice in the UK</w:t>
      </w:r>
      <w:r w:rsidR="00580648">
        <w:rPr>
          <w:color w:val="auto"/>
          <w:sz w:val="22"/>
          <w:szCs w:val="22"/>
        </w:rPr>
        <w:t>.</w:t>
      </w:r>
    </w:p>
    <w:p w:rsidR="002B3EC6" w:rsidRDefault="002B3EC6" w:rsidP="002B3EC6">
      <w:pPr>
        <w:pStyle w:val="Default"/>
        <w:rPr>
          <w:color w:val="auto"/>
          <w:sz w:val="20"/>
          <w:szCs w:val="20"/>
        </w:rPr>
      </w:pPr>
    </w:p>
    <w:p w:rsidR="002B3EC6" w:rsidRDefault="002B3EC6" w:rsidP="002B3EC6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Clinical Duties </w:t>
      </w:r>
    </w:p>
    <w:p w:rsidR="002B3EC6" w:rsidRDefault="002B3EC6" w:rsidP="002B3EC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post holder will be expected to undertake </w:t>
      </w:r>
      <w:r w:rsidR="00B570C4">
        <w:rPr>
          <w:color w:val="auto"/>
          <w:sz w:val="22"/>
          <w:szCs w:val="22"/>
        </w:rPr>
        <w:t xml:space="preserve">at least </w:t>
      </w:r>
      <w:r>
        <w:rPr>
          <w:color w:val="auto"/>
          <w:sz w:val="22"/>
          <w:szCs w:val="22"/>
        </w:rPr>
        <w:t xml:space="preserve">1 day a week on clinical duties to maintain clinical skills and experience, these will vary based on the clinical experience of the post holder. </w:t>
      </w:r>
    </w:p>
    <w:p w:rsidR="0016091F" w:rsidRDefault="0016091F" w:rsidP="002B3EC6">
      <w:pPr>
        <w:pStyle w:val="Default"/>
        <w:rPr>
          <w:b/>
          <w:bCs/>
          <w:color w:val="auto"/>
          <w:sz w:val="23"/>
          <w:szCs w:val="23"/>
        </w:rPr>
      </w:pPr>
    </w:p>
    <w:p w:rsidR="002B3EC6" w:rsidRDefault="002B3EC6" w:rsidP="002B3E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For Informal Enquires contact: </w:t>
      </w:r>
    </w:p>
    <w:p w:rsidR="002B3EC6" w:rsidRDefault="002B3EC6" w:rsidP="002B3EC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Professor </w:t>
      </w:r>
      <w:r w:rsidR="00817DAD">
        <w:rPr>
          <w:color w:val="auto"/>
          <w:sz w:val="22"/>
          <w:szCs w:val="22"/>
        </w:rPr>
        <w:t>Rory McCrimmon or Dr Ellen Malcolm</w:t>
      </w:r>
    </w:p>
    <w:p w:rsidR="00817DAD" w:rsidRDefault="00817DAD" w:rsidP="002B3EC6">
      <w:pPr>
        <w:pStyle w:val="Default"/>
        <w:rPr>
          <w:color w:val="auto"/>
          <w:sz w:val="22"/>
          <w:szCs w:val="22"/>
        </w:rPr>
      </w:pPr>
    </w:p>
    <w:p w:rsidR="00817DAD" w:rsidRDefault="002B3EC6" w:rsidP="002B3EC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Email</w:t>
      </w:r>
      <w:r w:rsidR="00817DAD">
        <w:rPr>
          <w:color w:val="auto"/>
          <w:sz w:val="23"/>
          <w:szCs w:val="23"/>
        </w:rPr>
        <w:t>:</w:t>
      </w:r>
    </w:p>
    <w:p w:rsidR="002B3EC6" w:rsidRPr="00487D0C" w:rsidRDefault="00691F32" w:rsidP="002B3EC6">
      <w:pPr>
        <w:pStyle w:val="Default"/>
        <w:rPr>
          <w:color w:val="auto"/>
          <w:sz w:val="22"/>
          <w:szCs w:val="22"/>
        </w:rPr>
      </w:pPr>
      <w:r w:rsidRPr="00487D0C">
        <w:rPr>
          <w:color w:val="auto"/>
          <w:sz w:val="22"/>
          <w:szCs w:val="22"/>
        </w:rPr>
        <w:t>rory.mccrimmon@nhs.scot</w:t>
      </w:r>
    </w:p>
    <w:p w:rsidR="00C94D21" w:rsidRPr="00487D0C" w:rsidRDefault="00CC42A4" w:rsidP="002B3EC6">
      <w:pPr>
        <w:rPr>
          <w:rFonts w:ascii="Calibri" w:hAnsi="Calibri" w:cs="Calibri"/>
          <w:sz w:val="22"/>
          <w:szCs w:val="22"/>
        </w:rPr>
      </w:pPr>
      <w:hyperlink r:id="rId6" w:history="1">
        <w:r w:rsidR="00487D0C" w:rsidRPr="00487D0C">
          <w:rPr>
            <w:rStyle w:val="Hyperlink"/>
            <w:rFonts w:ascii="Calibri" w:hAnsi="Calibri" w:cs="Calibri"/>
            <w:sz w:val="22"/>
            <w:szCs w:val="22"/>
          </w:rPr>
          <w:t>ellen.malcolm@nhs.scot</w:t>
        </w:r>
      </w:hyperlink>
    </w:p>
    <w:p w:rsidR="00487D0C" w:rsidRDefault="00487D0C" w:rsidP="002B3EC6"/>
    <w:sectPr w:rsidR="00487D0C" w:rsidSect="00CC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46CE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E21E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EC6"/>
    <w:rsid w:val="000223DA"/>
    <w:rsid w:val="00041999"/>
    <w:rsid w:val="00064F97"/>
    <w:rsid w:val="000C1318"/>
    <w:rsid w:val="00127BF0"/>
    <w:rsid w:val="001552AB"/>
    <w:rsid w:val="0016091F"/>
    <w:rsid w:val="0016476C"/>
    <w:rsid w:val="00172B60"/>
    <w:rsid w:val="00183B45"/>
    <w:rsid w:val="002247D4"/>
    <w:rsid w:val="002B3EC6"/>
    <w:rsid w:val="0030466A"/>
    <w:rsid w:val="0035734E"/>
    <w:rsid w:val="00360FEF"/>
    <w:rsid w:val="00387547"/>
    <w:rsid w:val="003F0CFB"/>
    <w:rsid w:val="003F1E71"/>
    <w:rsid w:val="00406CD5"/>
    <w:rsid w:val="00431A5B"/>
    <w:rsid w:val="00446D9F"/>
    <w:rsid w:val="00487D0C"/>
    <w:rsid w:val="004E5447"/>
    <w:rsid w:val="00560910"/>
    <w:rsid w:val="00580648"/>
    <w:rsid w:val="00584299"/>
    <w:rsid w:val="00612763"/>
    <w:rsid w:val="00691F32"/>
    <w:rsid w:val="006B31DA"/>
    <w:rsid w:val="0074086C"/>
    <w:rsid w:val="0076319C"/>
    <w:rsid w:val="007F40C9"/>
    <w:rsid w:val="008052F7"/>
    <w:rsid w:val="00817DAD"/>
    <w:rsid w:val="00867B4E"/>
    <w:rsid w:val="00890971"/>
    <w:rsid w:val="00894014"/>
    <w:rsid w:val="008B3DB6"/>
    <w:rsid w:val="00927368"/>
    <w:rsid w:val="009649F8"/>
    <w:rsid w:val="00977A5F"/>
    <w:rsid w:val="009D35B7"/>
    <w:rsid w:val="00A63131"/>
    <w:rsid w:val="00AC0471"/>
    <w:rsid w:val="00B14B29"/>
    <w:rsid w:val="00B570C4"/>
    <w:rsid w:val="00B935CD"/>
    <w:rsid w:val="00C14234"/>
    <w:rsid w:val="00C94D21"/>
    <w:rsid w:val="00CC42A4"/>
    <w:rsid w:val="00D14338"/>
    <w:rsid w:val="00D87B15"/>
    <w:rsid w:val="00E448BD"/>
    <w:rsid w:val="00EA6B69"/>
    <w:rsid w:val="00F925E1"/>
    <w:rsid w:val="00F9285D"/>
    <w:rsid w:val="00FD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A4"/>
  </w:style>
  <w:style w:type="paragraph" w:styleId="Heading1">
    <w:name w:val="heading 1"/>
    <w:basedOn w:val="Normal"/>
    <w:next w:val="Normal"/>
    <w:link w:val="Heading1Char"/>
    <w:uiPriority w:val="9"/>
    <w:qFormat/>
    <w:rsid w:val="002B3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EC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B3E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76319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7D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llen.malcolm@nhs.scot" TargetMode="External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3782</Characters>
  <Application>Microsoft Office Word</Application>
  <DocSecurity>0</DocSecurity>
  <Lines>31</Lines>
  <Paragraphs>8</Paragraphs>
  <ScaleCrop>false</ScaleCrop>
  <Company>University of Dundee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Barnett (Staff)</dc:creator>
  <cp:lastModifiedBy>smcswiggan</cp:lastModifiedBy>
  <cp:revision>2</cp:revision>
  <dcterms:created xsi:type="dcterms:W3CDTF">2025-11-13T15:17:00Z</dcterms:created>
  <dcterms:modified xsi:type="dcterms:W3CDTF">2025-11-13T15:17:00Z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2025-11-07T13:51:29Z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321b62e2-8a9a-48d4-bdcf-3e57ebdd8be9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</Properties>
</file>