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JOB DESCRIPTION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722" w:type="dxa"/>
        <w:jc w:val="left"/>
        <w:tblInd w:w="-25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1"/>
        <w:gridCol w:w="5396"/>
        <w:gridCol w:w="5"/>
      </w:tblGrid>
      <w:tr>
        <w:trPr>
          <w:trHeight w:val="502" w:hRule="atLeast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Heading3"/>
              <w:numPr>
                <w:ilvl w:val="0"/>
                <w:numId w:val="2"/>
              </w:numPr>
              <w:spacing w:before="120" w:after="120"/>
              <w:rPr/>
            </w:pPr>
            <w:r>
              <w:rPr/>
              <w:t>JOB IDENTIFICATION</w:t>
            </w:r>
          </w:p>
        </w:tc>
      </w:tr>
      <w:tr>
        <w:trPr>
          <w:trHeight w:val="4108" w:hRule="atLeast"/>
        </w:trPr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extBody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Job Title:</w:t>
              <w:tab/>
              <w:tab/>
              <w:t xml:space="preserve">         Community  Nursery Nurse – Health Visiting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Responsible to :</w:t>
              <w:tab/>
              <w:tab/>
              <w:t>Health Visitor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Department(s):</w:t>
              <w:tab/>
              <w:tab/>
              <w:t>Health Visiting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Directorate:</w:t>
              <w:tab/>
              <w:tab/>
              <w:tab/>
              <w:t>Community Children’s Service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Operating Division:</w:t>
              <w:tab/>
              <w:tab/>
              <w:t>Fife Wide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Job Reference: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 of Job Holders: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Last Update:                    December 2019</w:t>
            </w:r>
          </w:p>
        </w:tc>
      </w:tr>
      <w:tr>
        <w:trPr/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2.  JOB PURPOSE</w:t>
            </w:r>
          </w:p>
        </w:tc>
      </w:tr>
      <w:tr>
        <w:trPr>
          <w:trHeight w:val="1312" w:hRule="atLeast"/>
        </w:trPr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75" w:righ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75" w:righ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Undertake delegated pieces of work from the Health Visitor to support delivery of the Universal Health Visiting Pathway.</w:t>
            </w:r>
          </w:p>
          <w:p>
            <w:pPr>
              <w:pStyle w:val="Normal"/>
              <w:ind w:left="75" w:righ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75" w:righ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3. DIMENSIONS</w:t>
            </w:r>
          </w:p>
        </w:tc>
      </w:tr>
      <w:tr>
        <w:trPr>
          <w:trHeight w:val="889" w:hRule="atLeast"/>
        </w:trPr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75" w:right="0" w:hanging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Based within health facility, you will be required to work flexibly in a variety of settings to meet identified need</w:t>
            </w:r>
          </w:p>
          <w:p>
            <w:pPr>
              <w:pStyle w:val="Normal"/>
              <w:ind w:left="75" w:right="0" w:hanging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ind w:left="75" w:right="0" w:hanging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You will assist with health prevention and promotion with individual children and their families as directed.</w:t>
            </w:r>
          </w:p>
          <w:p>
            <w:pPr>
              <w:pStyle w:val="Normal"/>
              <w:ind w:left="75" w:righ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61" w:hRule="atLeast"/>
        </w:trPr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4.  ORGANISATIONAL POSITION</w:t>
            </w:r>
          </w:p>
        </w:tc>
      </w:tr>
      <w:tr>
        <w:trPr>
          <w:trHeight w:val="3051" w:hRule="atLeast"/>
        </w:trPr>
        <w:tc>
          <w:tcPr>
            <w:tcW w:w="10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extBody"/>
              <w:tabs>
                <w:tab w:val="clear" w:pos="720"/>
                <w:tab w:val="left" w:pos="0" w:leader="none"/>
              </w:tabs>
              <w:snapToGrid w:val="fal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913765</wp:posOffset>
                      </wp:positionV>
                      <wp:extent cx="1930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9.35pt,71.95pt" to="224.45pt,71.95pt" stroked="t" style="position:absolute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142875</wp:posOffset>
                      </wp:positionV>
                      <wp:extent cx="1982470" cy="31496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2470" cy="3149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Lead Nurse, Health Visiting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156.1pt;height:24.8pt;mso-wrap-distance-left:9pt;mso-wrap-distance-right:9pt;mso-wrap-distance-top:0pt;mso-wrap-distance-bottom:0pt;margin-top:11.25pt;mso-position-vertical-relative:text;margin-left:138.3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Lead Nurse, Health Visiting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1047750</wp:posOffset>
                      </wp:positionV>
                      <wp:extent cx="1188085" cy="285115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85" cy="2851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Health Visitor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93.55pt;height:22.45pt;mso-wrap-distance-left:9pt;mso-wrap-distance-right:9pt;mso-wrap-distance-top:0pt;mso-wrap-distance-bottom:0pt;margin-top:82.5pt;mso-position-vertical-relative:text;margin-left:169.75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Health Visitor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248285</wp:posOffset>
                      </wp:positionV>
                      <wp:extent cx="241300" cy="1270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21.95pt,19.55pt" to="240.85pt,19.55pt" stroked="t" style="position:absolute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72390</wp:posOffset>
                      </wp:positionV>
                      <wp:extent cx="1188085" cy="274955"/>
                      <wp:effectExtent l="0" t="0" r="0" b="0"/>
                      <wp:wrapNone/>
                      <wp:docPr id="5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85" cy="27495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Team Leader 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93.55pt;height:21.65pt;mso-wrap-distance-left:9pt;mso-wrap-distance-right:9pt;mso-wrap-distance-top:0pt;mso-wrap-distance-bottom:0pt;margin-top:5.7pt;mso-position-vertical-relative:text;margin-left:183.3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 xml:space="preserve">Team Leader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332105</wp:posOffset>
                      </wp:positionV>
                      <wp:extent cx="341630" cy="1270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2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6.35pt,26.15pt" to="243.15pt,26.15pt" stroked="t" style="position:absolute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89535</wp:posOffset>
                      </wp:positionV>
                      <wp:extent cx="2466975" cy="1270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8.5pt,7.05pt" to="282.65pt,7.05pt" stroked="t" style="position:absolute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227330</wp:posOffset>
                      </wp:positionV>
                      <wp:extent cx="180975" cy="1270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2.05pt,17.9pt" to="96.2pt,17.9pt" stroked="t" style="position:absolute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217805</wp:posOffset>
                      </wp:positionV>
                      <wp:extent cx="180975" cy="1270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58.8pt,17.15pt" to="372.95pt,17.15pt" stroked="t" style="position:absolute">
                      <v:stroke color="black" weight="9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262255</wp:posOffset>
                      </wp:positionV>
                      <wp:extent cx="1199515" cy="266700"/>
                      <wp:effectExtent l="0" t="0" r="0" b="0"/>
                      <wp:wrapNone/>
                      <wp:docPr id="10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9515" cy="2667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Nursery Nurses 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94.45pt;height:21pt;mso-wrap-distance-left:9pt;mso-wrap-distance-right:9pt;mso-wrap-distance-top:0pt;mso-wrap-distance-bottom:0pt;margin-top:20.65pt;mso-position-vertical-relative:text;margin-left:183.45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Nursery Nurses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4037965</wp:posOffset>
                      </wp:positionH>
                      <wp:positionV relativeFrom="paragraph">
                        <wp:posOffset>99060</wp:posOffset>
                      </wp:positionV>
                      <wp:extent cx="1183005" cy="443865"/>
                      <wp:effectExtent l="0" t="0" r="0" b="0"/>
                      <wp:wrapNone/>
                      <wp:docPr id="11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3005" cy="44386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Healthcare Support Worker 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93.15pt;height:34.95pt;mso-wrap-distance-left:9pt;mso-wrap-distance-right:9pt;mso-wrap-distance-top:0pt;mso-wrap-distance-bottom:0pt;margin-top:7.8pt;mso-position-vertical-relative:text;margin-left:317.95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Healthcare Support Worker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86995</wp:posOffset>
                      </wp:positionV>
                      <wp:extent cx="1795780" cy="266700"/>
                      <wp:effectExtent l="0" t="0" r="0" b="0"/>
                      <wp:wrapNone/>
                      <wp:docPr id="12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5780" cy="2667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Community Staff Nurses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141.4pt;height:21pt;mso-wrap-distance-left:9pt;mso-wrap-distance-right:9pt;mso-wrap-distance-top:0pt;mso-wrap-distance-bottom:0pt;margin-top:6.85pt;mso-position-vertical-relative:text;margin-left:18.3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Community Staff Nurses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TextBody"/>
              <w:tabs>
                <w:tab w:val="clear" w:pos="720"/>
                <w:tab w:val="left" w:pos="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5.   ROLE OF DEPARTMENT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role of Health Visiting is to promote the well being of Children and their families in accordance with the Universal Health Visiting pathway. 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Universal Health Visiting Pathway sets the standard for health visiting and the minimum core visits those families with Children aged 0-5 can expect from their health visitor, regardless of where they live in Scotland.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6.  MAIN TASKS, DUTY AND RESPONSIBILITIES</w:t>
            </w:r>
          </w:p>
        </w:tc>
      </w:tr>
      <w:tr>
        <w:trPr>
          <w:trHeight w:val="164" w:hRule="atLeast"/>
        </w:trPr>
        <w:tc>
          <w:tcPr>
            <w:tcW w:w="107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Undertake delegated pieces of work from the Health Visitor to support delivery of the Universal Health Visiting Pathway.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Using Solihull approaches, work with  families to enhance emotional health and parent/child interaction within the family</w:t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Support the care delivery at client facing points as may be necessary to support delivery of the clinical service of the HV team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Document appropriately work undertaken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Participate in ongoing regular clinical supervision with the Health Visitor to ensure delivery of a clinically effective service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Participate within own professional competency, identifying and accessing training and support as necessary through monitoring of personal development planning.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 aware of safety issues at all times</w:t>
            </w:r>
          </w:p>
          <w:p>
            <w:pPr>
              <w:pStyle w:val="Normal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Organise own workload effectively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7a. EQUIPMENT AND MACHINERY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81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Toys / Play equipment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Screening Materials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Developmental assessment equipment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Information Technology i.e. PC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Health promotion equipment e.g. display boards</w:t>
            </w:r>
          </w:p>
          <w:p>
            <w:pPr>
              <w:pStyle w:val="Normal"/>
              <w:ind w:left="81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0" w:right="72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7b.  SYSTEMS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Recording personally generated observations and report as appropriate child protection concerns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Contribute as required to ongoing evidence base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Maintain child health record in line with local procedure and professional [NMC] guidance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17" w:hRule="atLeast"/>
        </w:trPr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-27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8. DECISIONS AND JUDGEMENTS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720" w:righ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Interpreting observations of children’s behaviour and using information to plan learning/play experience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Recognising and reporting signs of potential child abuse issues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Assess and review individual/family requirements for service input under the supervision of the Health Visitor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0" w:right="-274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9.  COMMUNICATIONS AND RELATIONSHIPS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394" w:leader="none"/>
              </w:tabs>
              <w:ind w:left="720" w:right="0" w:hanging="3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establish therapeutic relationships with children and families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394" w:leader="none"/>
              </w:tabs>
              <w:ind w:left="720" w:right="0" w:hanging="3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establish professional relationships with the Primary Care Team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394" w:leader="none"/>
              </w:tabs>
              <w:ind w:left="720" w:right="0" w:hanging="3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Regularly communicate with various people both individually and in a group setting face to face on the telephone and in written correspondence.  Contacts will be mainly with: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1245" w:leader="none"/>
              </w:tabs>
              <w:ind w:left="1245" w:right="0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Health Visiting team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1245" w:leader="none"/>
              </w:tabs>
              <w:ind w:left="1245" w:right="0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primary care team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1245" w:leader="none"/>
              </w:tabs>
              <w:ind w:left="1245" w:right="0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local voluntary and statutory agencies</w:t>
            </w:r>
          </w:p>
        </w:tc>
      </w:tr>
      <w:tr>
        <w:trPr>
          <w:trHeight w:val="637" w:hRule="atLeast"/>
        </w:trPr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10.  ASSIGNMENT &amp; REVIEW OF WORK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72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will be delegated by the Health Visitor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Appraisal and objective setting will occur annually through Turas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0" w:right="-274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11. PHYSICAL, MENTAL, EMOTIONAL  DEMANDS OF THE JOB</w:t>
            </w:r>
          </w:p>
        </w:tc>
      </w:tr>
      <w:tr>
        <w:trPr>
          <w:trHeight w:val="2705" w:hRule="atLeast"/>
          <w:cantSplit w:val="true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Physical Skills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Skills for child developmental assessment - weekly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Computer literate [desirable] - weekly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Physical Demands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Bending/kneeling whilst playing with children - daily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Able to travel – daily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Carrying equipment and case notes - daily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Kneeling and bending - constantly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Personal Safety - constantly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Assisting children with disabilities – occasionally</w:t>
            </w:r>
          </w:p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cantSplit w:val="true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Mental Demands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Sustain concentration and focus throughout distressing and emotional circumstances, to motivate and empower parents and children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Emotional Demands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884" w:leader="none"/>
              </w:tabs>
              <w:ind w:left="884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Supporting families who are distressed/ anxious/worried in a non judgemental fashion to achieve agreed objectives - constantly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Working Conditions</w:t>
            </w:r>
          </w:p>
          <w:p>
            <w:pPr>
              <w:pStyle w:val="Normal"/>
              <w:ind w:left="819" w:right="0" w:hanging="425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Exposure to passive smoking - frequently</w:t>
            </w:r>
          </w:p>
          <w:p>
            <w:pPr>
              <w:pStyle w:val="Normal"/>
              <w:numPr>
                <w:ilvl w:val="0"/>
                <w:numId w:val="15"/>
              </w:numPr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Occasional exposure to verbal aggression - infrequently</w:t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Delivering service in difficult domiciliary situations - daily</w:t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819" w:right="0" w:hanging="42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Occasional exposure to animals of unknown temperament – 2-3 times per month</w:t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Titl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717" w:type="dxa"/>
        <w:jc w:val="left"/>
        <w:tblInd w:w="-25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  <w:gridCol w:w="2617"/>
      </w:tblGrid>
      <w:tr>
        <w:trPr>
          <w:trHeight w:val="497" w:hRule="atLeast"/>
        </w:trPr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12. MOST CHALLENGING / DIFFICULT PARTS OF THE JOB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720" w:right="0" w:hanging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Establishing co-operative supportive relationships with individual families to increase their capacity for emotional health and well being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Being able to balance conflicting priorities within a given time 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Recognising parameters  of own professional competency</w:t>
            </w:r>
          </w:p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spacing w:before="120" w:after="120"/>
              <w:rPr/>
            </w:pPr>
            <w:r>
              <w:rPr/>
              <w:t>13.  KNOWLEDGE, TRAINING AND EXPERIENCE REQUIRED TO DO THE JOB</w:t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ind w:left="360" w:right="0" w:hanging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Nursery Nurse Education Board [NNEB] or equivalent e.g. Higher National Certificate [HNC] in Childcare Education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Sound knowledge of child development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Good communication and interpersonal skills</w:t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Ability to work independently</w:t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819" w:leader="none"/>
              </w:tabs>
              <w:ind w:left="819" w:right="0" w:hanging="425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Ability to be flexible and adaptable to balance conflicting priorities</w:t>
            </w:r>
          </w:p>
          <w:p>
            <w:pPr>
              <w:pStyle w:val="Normal"/>
              <w:ind w:left="360" w:right="0" w:hanging="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/>
        <w:tc>
          <w:tcPr>
            <w:tcW w:w="10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14.  JOB DESCRIPTION AGREEMENT</w:t>
            </w:r>
          </w:p>
        </w:tc>
      </w:tr>
      <w:tr>
        <w:trPr>
          <w:trHeight w:val="1445" w:hRule="atLeast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30" w:leader="none"/>
              </w:tabs>
              <w:snapToGrid w:val="false"/>
              <w:ind w:left="0" w:right="-27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0" w:right="-270" w:hanging="0"/>
              <w:jc w:val="both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Job Holder’s Signature:</w:t>
            </w:r>
          </w:p>
          <w:p>
            <w:pPr>
              <w:pStyle w:val="Normal"/>
              <w:ind w:left="0" w:right="-27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0" w:right="-270" w:hanging="0"/>
              <w:jc w:val="both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Head of Department Signature: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-27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0" w:right="-27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  <w:p>
            <w:pPr>
              <w:pStyle w:val="Normal"/>
              <w:ind w:left="0" w:right="-27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0" w:right="-27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</w:tr>
    </w:tbl>
    <w:p>
      <w:pPr>
        <w:pStyle w:val="Header"/>
        <w:tabs>
          <w:tab w:val="clear" w:pos="4153"/>
          <w:tab w:val="clear" w:pos="8306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</w:t>
      </w:r>
    </w:p>
    <w:p>
      <w:pPr>
        <w:pStyle w:val="Titl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itl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itl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itl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134" w:right="1134" w:header="0" w:top="1134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3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pt;height:13.75pt;mso-wrap-distance-left:0pt;mso-wrap-distance-right:0pt;mso-wrap-distance-top:0pt;mso-wrap-distance-bottom:0pt;margin-top:0.05pt;mso-position-vertical-relative:text;margin-left:246.3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left="360" w:right="0" w:hanging="0"/>
      <w:jc w:val="both"/>
      <w:outlineLvl w:val="4"/>
    </w:pPr>
    <w:rPr>
      <w:rFonts w:ascii="Arial" w:hAnsi="Arial" w:cs="Arial"/>
      <w:b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Arial" w:hAnsi="Arial" w:cs="Arial"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Title">
    <w:name w:val="Title"/>
    <w:basedOn w:val="Normal"/>
    <w:next w:val="TextBody"/>
    <w:qFormat/>
    <w:pPr>
      <w:jc w:val="center"/>
    </w:pPr>
    <w:rPr>
      <w:b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NHS FIFE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2026-02-20T10:47:00Z</dcterms:created>
  <dc:creator>Elaine Langtree</dc:creator>
  <dc:description/>
  <dc:language>en-US</dc:language>
  <cp:lastModifiedBy>macdonaldg</cp:lastModifiedBy>
  <cp:lastPrinted>1995-11-21T17:41:00Z</cp:lastPrinted>
  <dcterms:modified xsi:type="dcterms:W3CDTF">2026-02-20T10:47:00Z</dcterms:modified>
  <cp:revision>2</cp:revision>
  <dc:subject/>
  <dc:title>JOB DESCRIPTION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NHS FIFE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