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9A" w:rsidRDefault="00521B9A" w:rsidP="00521B9A">
      <w:pPr>
        <w:jc w:val="center"/>
        <w:rPr>
          <w:rFonts w:ascii="Arial" w:hAnsi="Arial" w:cs="Arial"/>
          <w:b/>
          <w:sz w:val="22"/>
        </w:rPr>
      </w:pPr>
      <w:r>
        <w:rPr>
          <w:rFonts w:ascii="Arial" w:hAnsi="Arial" w:cs="Arial"/>
          <w:b/>
          <w:sz w:val="22"/>
        </w:rPr>
        <w:t>NHS Tayside – Single Delivery Unit</w:t>
      </w:r>
    </w:p>
    <w:p w:rsidR="00521B9A" w:rsidRDefault="00521B9A" w:rsidP="00521B9A">
      <w:pPr>
        <w:pStyle w:val="Subtitle"/>
        <w:rPr>
          <w:rFonts w:ascii="Arial" w:hAnsi="Arial" w:cs="Arial"/>
          <w:sz w:val="22"/>
        </w:rPr>
      </w:pPr>
    </w:p>
    <w:p w:rsidR="00521B9A" w:rsidRDefault="00521B9A" w:rsidP="00521B9A">
      <w:pPr>
        <w:pStyle w:val="Subtitle"/>
        <w:rPr>
          <w:rFonts w:ascii="Arial" w:hAnsi="Arial" w:cs="Arial"/>
          <w:sz w:val="22"/>
        </w:rPr>
      </w:pPr>
      <w:r>
        <w:rPr>
          <w:rFonts w:ascii="Arial" w:hAnsi="Arial" w:cs="Arial"/>
          <w:sz w:val="22"/>
        </w:rPr>
        <w:t>Specialist Services Clinical Group</w:t>
      </w:r>
    </w:p>
    <w:p w:rsidR="00521B9A" w:rsidRDefault="00521B9A" w:rsidP="00521B9A">
      <w:pPr>
        <w:jc w:val="center"/>
        <w:rPr>
          <w:rFonts w:ascii="Arial" w:hAnsi="Arial" w:cs="Arial"/>
          <w:b/>
          <w:sz w:val="22"/>
        </w:rPr>
      </w:pPr>
    </w:p>
    <w:p w:rsidR="00104765" w:rsidRDefault="00104765" w:rsidP="00104765">
      <w:pPr>
        <w:jc w:val="center"/>
        <w:rPr>
          <w:rFonts w:ascii="Arial" w:hAnsi="Arial" w:cs="Arial"/>
          <w:b/>
          <w:sz w:val="22"/>
          <w:szCs w:val="22"/>
        </w:rPr>
      </w:pPr>
      <w:r w:rsidRPr="00104765">
        <w:rPr>
          <w:rFonts w:ascii="Arial" w:hAnsi="Arial" w:cs="Arial"/>
          <w:b/>
          <w:sz w:val="22"/>
          <w:szCs w:val="22"/>
        </w:rPr>
        <w:t xml:space="preserve">General </w:t>
      </w:r>
      <w:proofErr w:type="spellStart"/>
      <w:r w:rsidRPr="00104765">
        <w:rPr>
          <w:rFonts w:ascii="Arial" w:hAnsi="Arial" w:cs="Arial"/>
          <w:b/>
          <w:sz w:val="22"/>
          <w:szCs w:val="22"/>
        </w:rPr>
        <w:t>Practioner</w:t>
      </w:r>
      <w:proofErr w:type="spellEnd"/>
      <w:r w:rsidRPr="00104765">
        <w:rPr>
          <w:rFonts w:ascii="Arial" w:hAnsi="Arial" w:cs="Arial"/>
          <w:b/>
          <w:sz w:val="22"/>
          <w:szCs w:val="22"/>
        </w:rPr>
        <w:t xml:space="preserve"> with Clinical Extended Role (</w:t>
      </w:r>
      <w:proofErr w:type="spellStart"/>
      <w:r w:rsidRPr="00104765">
        <w:rPr>
          <w:rFonts w:ascii="Arial" w:hAnsi="Arial" w:cs="Arial"/>
          <w:b/>
          <w:sz w:val="22"/>
          <w:szCs w:val="22"/>
        </w:rPr>
        <w:t>GPwER</w:t>
      </w:r>
      <w:proofErr w:type="spellEnd"/>
      <w:r w:rsidRPr="00104765">
        <w:rPr>
          <w:rFonts w:ascii="Arial" w:hAnsi="Arial" w:cs="Arial"/>
          <w:b/>
          <w:sz w:val="22"/>
          <w:szCs w:val="22"/>
        </w:rPr>
        <w:t>) Dermatology</w:t>
      </w:r>
    </w:p>
    <w:p w:rsidR="00104765" w:rsidRPr="00104765" w:rsidRDefault="00104765" w:rsidP="00104765">
      <w:pPr>
        <w:jc w:val="both"/>
        <w:rPr>
          <w:rFonts w:ascii="Arial" w:hAnsi="Arial" w:cs="Arial"/>
          <w:b/>
          <w:sz w:val="22"/>
          <w:szCs w:val="22"/>
        </w:rPr>
      </w:pPr>
    </w:p>
    <w:p w:rsidR="00521B9A" w:rsidRDefault="00521B9A" w:rsidP="00521B9A">
      <w:pPr>
        <w:jc w:val="center"/>
        <w:rPr>
          <w:rFonts w:ascii="Arial" w:hAnsi="Arial" w:cs="Arial"/>
          <w:b/>
          <w:sz w:val="22"/>
        </w:rPr>
      </w:pPr>
      <w:r>
        <w:rPr>
          <w:rFonts w:ascii="Arial" w:hAnsi="Arial" w:cs="Arial"/>
          <w:b/>
          <w:sz w:val="22"/>
        </w:rPr>
        <w:t>Job Description</w:t>
      </w:r>
    </w:p>
    <w:p w:rsidR="00521B9A" w:rsidRDefault="00521B9A" w:rsidP="00521B9A">
      <w:pPr>
        <w:jc w:val="center"/>
        <w:rPr>
          <w:rFonts w:ascii="Arial" w:hAnsi="Arial" w:cs="Arial"/>
          <w:b/>
          <w:sz w:val="22"/>
        </w:rPr>
      </w:pPr>
    </w:p>
    <w:p w:rsidR="00521B9A" w:rsidRDefault="00521B9A" w:rsidP="00521B9A">
      <w:pPr>
        <w:jc w:val="center"/>
        <w:rPr>
          <w:rFonts w:ascii="Arial" w:hAnsi="Arial" w:cs="Arial"/>
          <w:b/>
          <w:sz w:val="22"/>
        </w:rPr>
      </w:pPr>
    </w:p>
    <w:p w:rsidR="00521B9A" w:rsidRDefault="00521B9A" w:rsidP="00521B9A">
      <w:pPr>
        <w:jc w:val="both"/>
        <w:rPr>
          <w:rFonts w:ascii="Arial" w:hAnsi="Arial" w:cs="Arial"/>
          <w:b/>
          <w:sz w:val="22"/>
        </w:rPr>
      </w:pPr>
      <w:r>
        <w:rPr>
          <w:rFonts w:ascii="Arial" w:hAnsi="Arial" w:cs="Arial"/>
          <w:b/>
          <w:sz w:val="22"/>
        </w:rPr>
        <w:t>BACKGROUND</w:t>
      </w:r>
    </w:p>
    <w:p w:rsidR="00521B9A" w:rsidRDefault="00521B9A" w:rsidP="00521B9A">
      <w:pPr>
        <w:jc w:val="both"/>
        <w:rPr>
          <w:rFonts w:ascii="Arial" w:hAnsi="Arial" w:cs="Arial"/>
          <w:b/>
          <w:sz w:val="22"/>
        </w:rPr>
      </w:pPr>
    </w:p>
    <w:p w:rsidR="00521B9A" w:rsidRDefault="00521B9A" w:rsidP="00521B9A">
      <w:pPr>
        <w:jc w:val="both"/>
        <w:rPr>
          <w:rFonts w:ascii="Arial" w:hAnsi="Arial" w:cs="Arial"/>
          <w:sz w:val="22"/>
        </w:rPr>
      </w:pPr>
      <w:r>
        <w:rPr>
          <w:rFonts w:ascii="Arial" w:hAnsi="Arial" w:cs="Arial"/>
          <w:sz w:val="22"/>
        </w:rPr>
        <w:t xml:space="preserve">This is an opportunity for a limited number of </w:t>
      </w:r>
      <w:r w:rsidR="00104765" w:rsidRPr="00104765">
        <w:rPr>
          <w:rFonts w:ascii="Arial" w:hAnsi="Arial" w:cs="Arial"/>
          <w:sz w:val="22"/>
          <w:szCs w:val="22"/>
        </w:rPr>
        <w:t xml:space="preserve">General </w:t>
      </w:r>
      <w:proofErr w:type="spellStart"/>
      <w:r w:rsidR="00104765" w:rsidRPr="00104765">
        <w:rPr>
          <w:rFonts w:ascii="Arial" w:hAnsi="Arial" w:cs="Arial"/>
          <w:sz w:val="22"/>
          <w:szCs w:val="22"/>
        </w:rPr>
        <w:t>Practioner</w:t>
      </w:r>
      <w:proofErr w:type="spellEnd"/>
      <w:r w:rsidR="00104765" w:rsidRPr="00104765">
        <w:rPr>
          <w:rFonts w:ascii="Arial" w:hAnsi="Arial" w:cs="Arial"/>
          <w:sz w:val="22"/>
          <w:szCs w:val="22"/>
        </w:rPr>
        <w:t xml:space="preserve"> with Clinical Extended Role (</w:t>
      </w:r>
      <w:proofErr w:type="spellStart"/>
      <w:r w:rsidR="00104765" w:rsidRPr="00104765">
        <w:rPr>
          <w:rFonts w:ascii="Arial" w:hAnsi="Arial" w:cs="Arial"/>
          <w:sz w:val="22"/>
          <w:szCs w:val="22"/>
        </w:rPr>
        <w:t>GPwER</w:t>
      </w:r>
      <w:proofErr w:type="spellEnd"/>
      <w:r w:rsidR="00104765" w:rsidRPr="00104765">
        <w:rPr>
          <w:rFonts w:ascii="Arial" w:hAnsi="Arial" w:cs="Arial"/>
          <w:sz w:val="22"/>
          <w:szCs w:val="22"/>
        </w:rPr>
        <w:t>)</w:t>
      </w:r>
      <w:r w:rsidR="00104765">
        <w:rPr>
          <w:rFonts w:ascii="Arial" w:hAnsi="Arial" w:cs="Arial"/>
          <w:sz w:val="22"/>
          <w:szCs w:val="22"/>
        </w:rPr>
        <w:t xml:space="preserve"> </w:t>
      </w:r>
      <w:r>
        <w:rPr>
          <w:rFonts w:ascii="Arial" w:hAnsi="Arial" w:cs="Arial"/>
          <w:sz w:val="22"/>
        </w:rPr>
        <w:t>sessions in Dermatology to be</w:t>
      </w:r>
      <w:r w:rsidR="00104765">
        <w:rPr>
          <w:rFonts w:ascii="Arial" w:hAnsi="Arial" w:cs="Arial"/>
          <w:sz w:val="22"/>
        </w:rPr>
        <w:t xml:space="preserve"> based at St Andrews Community H</w:t>
      </w:r>
      <w:r>
        <w:rPr>
          <w:rFonts w:ascii="Arial" w:hAnsi="Arial" w:cs="Arial"/>
          <w:sz w:val="22"/>
        </w:rPr>
        <w:t xml:space="preserve">ospital, St Andrews, </w:t>
      </w:r>
      <w:proofErr w:type="gramStart"/>
      <w:r>
        <w:rPr>
          <w:rFonts w:ascii="Arial" w:hAnsi="Arial" w:cs="Arial"/>
          <w:sz w:val="22"/>
        </w:rPr>
        <w:t>Fife</w:t>
      </w:r>
      <w:proofErr w:type="gramEnd"/>
      <w:r>
        <w:rPr>
          <w:rFonts w:ascii="Arial" w:hAnsi="Arial" w:cs="Arial"/>
          <w:sz w:val="22"/>
        </w:rPr>
        <w:t>.</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r>
        <w:rPr>
          <w:rFonts w:ascii="Arial" w:hAnsi="Arial" w:cs="Arial"/>
          <w:sz w:val="22"/>
        </w:rPr>
        <w:t xml:space="preserve">NHS Tayside provides a comprehensive range of general and specialist acute services for Tayside, North-East Fife and Orkney, a population of over 500,000. The Dermatology Department is part of the Specialist Services Clinical Group, which includes in addition Ophthalmology, Otolaryngology, Neurosciences, Plastic Surgery, Oral &amp; </w:t>
      </w:r>
      <w:proofErr w:type="spellStart"/>
      <w:r>
        <w:rPr>
          <w:rFonts w:ascii="Arial" w:hAnsi="Arial" w:cs="Arial"/>
          <w:sz w:val="22"/>
        </w:rPr>
        <w:t>Maxillo</w:t>
      </w:r>
      <w:proofErr w:type="spellEnd"/>
      <w:r>
        <w:rPr>
          <w:rFonts w:ascii="Arial" w:hAnsi="Arial" w:cs="Arial"/>
          <w:sz w:val="22"/>
        </w:rPr>
        <w:t>-Facial Surgery and other Dental Specialties.</w:t>
      </w:r>
      <w:r w:rsidRPr="00805428">
        <w:rPr>
          <w:rFonts w:ascii="Arial" w:hAnsi="Arial" w:cs="Arial"/>
          <w:sz w:val="22"/>
        </w:rPr>
        <w:t xml:space="preserve"> </w:t>
      </w:r>
      <w:r>
        <w:rPr>
          <w:rFonts w:ascii="Arial" w:hAnsi="Arial" w:cs="Arial"/>
          <w:sz w:val="22"/>
        </w:rPr>
        <w:t xml:space="preserve">The main base of the Dermatology Department is in </w:t>
      </w:r>
      <w:proofErr w:type="spellStart"/>
      <w:r>
        <w:rPr>
          <w:rFonts w:ascii="Arial" w:hAnsi="Arial" w:cs="Arial"/>
          <w:sz w:val="22"/>
        </w:rPr>
        <w:t>Ninewells</w:t>
      </w:r>
      <w:proofErr w:type="spellEnd"/>
      <w:r>
        <w:rPr>
          <w:rFonts w:ascii="Arial" w:hAnsi="Arial" w:cs="Arial"/>
          <w:sz w:val="22"/>
        </w:rPr>
        <w:t xml:space="preserve"> Hospital, Dundee with out-patient clinics in Angus, Perth and </w:t>
      </w:r>
      <w:proofErr w:type="spellStart"/>
      <w:r>
        <w:rPr>
          <w:rFonts w:ascii="Arial" w:hAnsi="Arial" w:cs="Arial"/>
          <w:sz w:val="22"/>
        </w:rPr>
        <w:t>North_East</w:t>
      </w:r>
      <w:proofErr w:type="spellEnd"/>
      <w:r>
        <w:rPr>
          <w:rFonts w:ascii="Arial" w:hAnsi="Arial" w:cs="Arial"/>
          <w:sz w:val="22"/>
        </w:rPr>
        <w:t xml:space="preserve"> Fife. </w:t>
      </w:r>
    </w:p>
    <w:p w:rsidR="00521B9A" w:rsidRDefault="00521B9A" w:rsidP="00521B9A">
      <w:pPr>
        <w:jc w:val="both"/>
        <w:rPr>
          <w:rFonts w:ascii="Arial" w:hAnsi="Arial" w:cs="Arial"/>
          <w:sz w:val="22"/>
        </w:rPr>
      </w:pPr>
    </w:p>
    <w:p w:rsidR="00521B9A" w:rsidRDefault="00521B9A" w:rsidP="00521B9A">
      <w:pPr>
        <w:pStyle w:val="Heading3"/>
        <w:rPr>
          <w:rFonts w:ascii="Arial" w:hAnsi="Arial" w:cs="Arial"/>
          <w:u w:val="single"/>
        </w:rPr>
      </w:pPr>
      <w:r>
        <w:rPr>
          <w:rFonts w:ascii="Arial" w:hAnsi="Arial" w:cs="Arial"/>
          <w:u w:val="single"/>
        </w:rPr>
        <w:t>THE POST</w:t>
      </w:r>
    </w:p>
    <w:p w:rsidR="00521B9A" w:rsidRDefault="00521B9A" w:rsidP="00521B9A">
      <w:pPr>
        <w:jc w:val="both"/>
        <w:rPr>
          <w:rFonts w:ascii="Arial" w:hAnsi="Arial" w:cs="Arial"/>
          <w:sz w:val="22"/>
        </w:rPr>
      </w:pPr>
    </w:p>
    <w:p w:rsidR="00521B9A" w:rsidRPr="00104765" w:rsidRDefault="00104765" w:rsidP="00521B9A">
      <w:pPr>
        <w:numPr>
          <w:ilvl w:val="0"/>
          <w:numId w:val="1"/>
        </w:numPr>
        <w:jc w:val="both"/>
        <w:rPr>
          <w:rFonts w:ascii="Arial" w:hAnsi="Arial" w:cs="Arial"/>
          <w:sz w:val="22"/>
        </w:rPr>
      </w:pPr>
      <w:r>
        <w:rPr>
          <w:rFonts w:ascii="Arial" w:hAnsi="Arial" w:cs="Arial"/>
          <w:sz w:val="22"/>
        </w:rPr>
        <w:t xml:space="preserve">Job title –  </w:t>
      </w:r>
      <w:r w:rsidRPr="00104765">
        <w:rPr>
          <w:rFonts w:ascii="Arial" w:hAnsi="Arial" w:cs="Arial"/>
          <w:sz w:val="22"/>
          <w:szCs w:val="22"/>
        </w:rPr>
        <w:t xml:space="preserve">General </w:t>
      </w:r>
      <w:proofErr w:type="spellStart"/>
      <w:r w:rsidRPr="00104765">
        <w:rPr>
          <w:rFonts w:ascii="Arial" w:hAnsi="Arial" w:cs="Arial"/>
          <w:sz w:val="22"/>
          <w:szCs w:val="22"/>
        </w:rPr>
        <w:t>Practioner</w:t>
      </w:r>
      <w:proofErr w:type="spellEnd"/>
      <w:r w:rsidRPr="00104765">
        <w:rPr>
          <w:rFonts w:ascii="Arial" w:hAnsi="Arial" w:cs="Arial"/>
          <w:sz w:val="22"/>
          <w:szCs w:val="22"/>
        </w:rPr>
        <w:t xml:space="preserve"> with Clinical Extended Role (</w:t>
      </w:r>
      <w:proofErr w:type="spellStart"/>
      <w:r w:rsidRPr="00104765">
        <w:rPr>
          <w:rFonts w:ascii="Arial" w:hAnsi="Arial" w:cs="Arial"/>
          <w:sz w:val="22"/>
          <w:szCs w:val="22"/>
        </w:rPr>
        <w:t>GPwER</w:t>
      </w:r>
      <w:proofErr w:type="spellEnd"/>
      <w:r w:rsidRPr="00104765">
        <w:rPr>
          <w:rFonts w:ascii="Arial" w:hAnsi="Arial" w:cs="Arial"/>
          <w:sz w:val="22"/>
          <w:szCs w:val="22"/>
        </w:rPr>
        <w:t>)</w:t>
      </w:r>
    </w:p>
    <w:p w:rsidR="00521B9A" w:rsidRPr="00521B9A" w:rsidRDefault="00521B9A" w:rsidP="00521B9A">
      <w:pPr>
        <w:numPr>
          <w:ilvl w:val="0"/>
          <w:numId w:val="1"/>
        </w:numPr>
        <w:jc w:val="both"/>
        <w:rPr>
          <w:rFonts w:ascii="Arial" w:hAnsi="Arial" w:cs="Arial"/>
          <w:sz w:val="22"/>
        </w:rPr>
      </w:pPr>
      <w:r w:rsidRPr="00521B9A">
        <w:rPr>
          <w:rFonts w:ascii="Arial" w:hAnsi="Arial" w:cs="Arial"/>
          <w:sz w:val="22"/>
        </w:rPr>
        <w:t xml:space="preserve">The duties of the post will involve working with the Dermatology Consultants </w:t>
      </w:r>
      <w:r>
        <w:rPr>
          <w:rFonts w:ascii="Arial" w:hAnsi="Arial" w:cs="Arial"/>
          <w:sz w:val="22"/>
        </w:rPr>
        <w:t>and other team members to provide clinical services and where required contribute to teaching and research activities.</w:t>
      </w:r>
    </w:p>
    <w:p w:rsidR="00521B9A" w:rsidRDefault="00521B9A" w:rsidP="00521B9A">
      <w:pPr>
        <w:jc w:val="both"/>
        <w:rPr>
          <w:rFonts w:ascii="Arial" w:hAnsi="Arial" w:cs="Arial"/>
          <w:sz w:val="22"/>
        </w:rPr>
      </w:pPr>
    </w:p>
    <w:p w:rsidR="00521B9A" w:rsidRPr="00521B9A" w:rsidRDefault="00521B9A" w:rsidP="00521B9A">
      <w:pPr>
        <w:numPr>
          <w:ilvl w:val="0"/>
          <w:numId w:val="1"/>
        </w:numPr>
        <w:jc w:val="both"/>
        <w:rPr>
          <w:rFonts w:ascii="Arial" w:hAnsi="Arial" w:cs="Arial"/>
          <w:sz w:val="22"/>
        </w:rPr>
      </w:pPr>
      <w:r w:rsidRPr="00521B9A">
        <w:rPr>
          <w:rFonts w:ascii="Arial" w:hAnsi="Arial" w:cs="Arial"/>
          <w:sz w:val="22"/>
        </w:rPr>
        <w:t xml:space="preserve">The following is a provisional job programme of the clinical duties of this post. The department is currently undergoing a re-design of service, and there is room for some flexibility in the timing of the clinical duties. </w:t>
      </w:r>
      <w:r w:rsidR="00104765">
        <w:rPr>
          <w:rFonts w:ascii="Arial" w:hAnsi="Arial" w:cs="Arial"/>
          <w:sz w:val="22"/>
        </w:rPr>
        <w:t xml:space="preserve">The position is for </w:t>
      </w:r>
      <w:proofErr w:type="gramStart"/>
      <w:r w:rsidR="00104765">
        <w:rPr>
          <w:rFonts w:ascii="Arial" w:hAnsi="Arial" w:cs="Arial"/>
          <w:sz w:val="22"/>
        </w:rPr>
        <w:t xml:space="preserve">two </w:t>
      </w:r>
      <w:r>
        <w:rPr>
          <w:rFonts w:ascii="Arial" w:hAnsi="Arial" w:cs="Arial"/>
          <w:sz w:val="22"/>
        </w:rPr>
        <w:t xml:space="preserve"> sessions</w:t>
      </w:r>
      <w:proofErr w:type="gramEnd"/>
      <w:r>
        <w:rPr>
          <w:rFonts w:ascii="Arial" w:hAnsi="Arial" w:cs="Arial"/>
          <w:sz w:val="22"/>
        </w:rPr>
        <w:t>/week (averaged).</w:t>
      </w:r>
    </w:p>
    <w:p w:rsidR="00521B9A" w:rsidRDefault="00521B9A" w:rsidP="00521B9A">
      <w:pPr>
        <w:ind w:left="720"/>
        <w:jc w:val="both"/>
        <w:rPr>
          <w:rFonts w:ascii="Arial" w:hAnsi="Arial" w:cs="Arial"/>
          <w:sz w:val="22"/>
        </w:rPr>
      </w:pPr>
    </w:p>
    <w:tbl>
      <w:tblPr>
        <w:tblStyle w:val="TableGrid"/>
        <w:tblW w:w="0" w:type="auto"/>
        <w:tblLook w:val="04A0"/>
      </w:tblPr>
      <w:tblGrid>
        <w:gridCol w:w="1278"/>
        <w:gridCol w:w="1542"/>
        <w:gridCol w:w="1572"/>
        <w:gridCol w:w="1729"/>
        <w:gridCol w:w="1644"/>
        <w:gridCol w:w="1477"/>
      </w:tblGrid>
      <w:tr w:rsidR="00521B9A" w:rsidRPr="003D0670" w:rsidTr="00063A5A">
        <w:tc>
          <w:tcPr>
            <w:tcW w:w="2362" w:type="dxa"/>
          </w:tcPr>
          <w:p w:rsidR="00521B9A" w:rsidRPr="003D0670" w:rsidRDefault="00521B9A" w:rsidP="00063A5A">
            <w:pPr>
              <w:rPr>
                <w:rFonts w:ascii="Arial" w:hAnsi="Arial" w:cs="Arial"/>
                <w:sz w:val="16"/>
                <w:szCs w:val="16"/>
              </w:rPr>
            </w:pPr>
          </w:p>
          <w:p w:rsidR="00521B9A" w:rsidRPr="003D0670" w:rsidRDefault="00521B9A" w:rsidP="00063A5A">
            <w:pPr>
              <w:rPr>
                <w:rFonts w:ascii="Arial" w:hAnsi="Arial" w:cs="Arial"/>
                <w:sz w:val="16"/>
                <w:szCs w:val="16"/>
              </w:rPr>
            </w:pPr>
          </w:p>
        </w:tc>
        <w:tc>
          <w:tcPr>
            <w:tcW w:w="2362" w:type="dxa"/>
          </w:tcPr>
          <w:p w:rsidR="00521B9A" w:rsidRPr="003D0670" w:rsidRDefault="00521B9A" w:rsidP="00063A5A">
            <w:pPr>
              <w:rPr>
                <w:rFonts w:ascii="Arial" w:hAnsi="Arial" w:cs="Arial"/>
                <w:sz w:val="16"/>
                <w:szCs w:val="16"/>
              </w:rPr>
            </w:pPr>
            <w:r w:rsidRPr="003D0670">
              <w:rPr>
                <w:rFonts w:ascii="Arial" w:hAnsi="Arial" w:cs="Arial"/>
                <w:sz w:val="16"/>
                <w:szCs w:val="16"/>
              </w:rPr>
              <w:t>MONDAY</w:t>
            </w:r>
          </w:p>
        </w:tc>
        <w:tc>
          <w:tcPr>
            <w:tcW w:w="2362" w:type="dxa"/>
          </w:tcPr>
          <w:p w:rsidR="00521B9A" w:rsidRPr="003D0670" w:rsidRDefault="00521B9A" w:rsidP="00063A5A">
            <w:pPr>
              <w:rPr>
                <w:rFonts w:ascii="Arial" w:hAnsi="Arial" w:cs="Arial"/>
                <w:sz w:val="16"/>
                <w:szCs w:val="16"/>
              </w:rPr>
            </w:pPr>
            <w:r w:rsidRPr="003D0670">
              <w:rPr>
                <w:rFonts w:ascii="Arial" w:hAnsi="Arial" w:cs="Arial"/>
                <w:sz w:val="16"/>
                <w:szCs w:val="16"/>
              </w:rPr>
              <w:t>TUESDAY</w:t>
            </w:r>
          </w:p>
        </w:tc>
        <w:tc>
          <w:tcPr>
            <w:tcW w:w="2362" w:type="dxa"/>
          </w:tcPr>
          <w:p w:rsidR="00521B9A" w:rsidRPr="003D0670" w:rsidRDefault="00521B9A" w:rsidP="00063A5A">
            <w:pPr>
              <w:rPr>
                <w:rFonts w:ascii="Arial" w:hAnsi="Arial" w:cs="Arial"/>
                <w:sz w:val="16"/>
                <w:szCs w:val="16"/>
              </w:rPr>
            </w:pPr>
            <w:r w:rsidRPr="003D0670">
              <w:rPr>
                <w:rFonts w:ascii="Arial" w:hAnsi="Arial" w:cs="Arial"/>
                <w:sz w:val="16"/>
                <w:szCs w:val="16"/>
              </w:rPr>
              <w:t>WEDNESDAY</w:t>
            </w:r>
          </w:p>
        </w:tc>
        <w:tc>
          <w:tcPr>
            <w:tcW w:w="2363" w:type="dxa"/>
          </w:tcPr>
          <w:p w:rsidR="00521B9A" w:rsidRPr="003D0670" w:rsidRDefault="00521B9A" w:rsidP="00063A5A">
            <w:pPr>
              <w:rPr>
                <w:rFonts w:ascii="Arial" w:hAnsi="Arial" w:cs="Arial"/>
                <w:sz w:val="16"/>
                <w:szCs w:val="16"/>
              </w:rPr>
            </w:pPr>
            <w:r w:rsidRPr="003D0670">
              <w:rPr>
                <w:rFonts w:ascii="Arial" w:hAnsi="Arial" w:cs="Arial"/>
                <w:sz w:val="16"/>
                <w:szCs w:val="16"/>
              </w:rPr>
              <w:t>THURSDAY</w:t>
            </w:r>
          </w:p>
        </w:tc>
        <w:tc>
          <w:tcPr>
            <w:tcW w:w="2363" w:type="dxa"/>
          </w:tcPr>
          <w:p w:rsidR="00521B9A" w:rsidRPr="003D0670" w:rsidRDefault="00521B9A" w:rsidP="00063A5A">
            <w:pPr>
              <w:rPr>
                <w:rFonts w:ascii="Arial" w:hAnsi="Arial" w:cs="Arial"/>
                <w:sz w:val="16"/>
                <w:szCs w:val="16"/>
              </w:rPr>
            </w:pPr>
            <w:r w:rsidRPr="003D0670">
              <w:rPr>
                <w:rFonts w:ascii="Arial" w:hAnsi="Arial" w:cs="Arial"/>
                <w:sz w:val="16"/>
                <w:szCs w:val="16"/>
              </w:rPr>
              <w:t>FRIDAY</w:t>
            </w:r>
          </w:p>
        </w:tc>
      </w:tr>
      <w:tr w:rsidR="00521B9A" w:rsidRPr="003D0670" w:rsidTr="00063A5A">
        <w:tc>
          <w:tcPr>
            <w:tcW w:w="2362" w:type="dxa"/>
          </w:tcPr>
          <w:p w:rsidR="00521B9A" w:rsidRPr="003D0670" w:rsidRDefault="00521B9A" w:rsidP="00063A5A">
            <w:pPr>
              <w:rPr>
                <w:rFonts w:ascii="Arial" w:hAnsi="Arial" w:cs="Arial"/>
                <w:sz w:val="16"/>
                <w:szCs w:val="16"/>
              </w:rPr>
            </w:pPr>
            <w:r w:rsidRPr="003D0670">
              <w:rPr>
                <w:rFonts w:ascii="Arial" w:hAnsi="Arial" w:cs="Arial"/>
                <w:sz w:val="16"/>
                <w:szCs w:val="16"/>
              </w:rPr>
              <w:t>AM</w:t>
            </w:r>
          </w:p>
          <w:p w:rsidR="00521B9A" w:rsidRPr="003D0670" w:rsidRDefault="00521B9A" w:rsidP="00063A5A">
            <w:pPr>
              <w:rPr>
                <w:rFonts w:ascii="Arial" w:hAnsi="Arial" w:cs="Arial"/>
                <w:sz w:val="16"/>
                <w:szCs w:val="16"/>
              </w:rPr>
            </w:pPr>
          </w:p>
        </w:tc>
        <w:tc>
          <w:tcPr>
            <w:tcW w:w="2362" w:type="dxa"/>
          </w:tcPr>
          <w:p w:rsidR="00521B9A" w:rsidRPr="003D0670" w:rsidRDefault="00521B9A" w:rsidP="00063A5A">
            <w:pPr>
              <w:rPr>
                <w:rFonts w:ascii="Arial" w:hAnsi="Arial" w:cs="Arial"/>
                <w:sz w:val="16"/>
                <w:szCs w:val="16"/>
              </w:rPr>
            </w:pPr>
          </w:p>
        </w:tc>
        <w:tc>
          <w:tcPr>
            <w:tcW w:w="2362" w:type="dxa"/>
          </w:tcPr>
          <w:p w:rsidR="00521B9A" w:rsidRDefault="00521B9A" w:rsidP="00063A5A">
            <w:pPr>
              <w:rPr>
                <w:rFonts w:ascii="Arial" w:hAnsi="Arial" w:cs="Arial"/>
                <w:sz w:val="16"/>
                <w:szCs w:val="16"/>
              </w:rPr>
            </w:pPr>
          </w:p>
          <w:p w:rsidR="00521B9A" w:rsidRPr="003D0670" w:rsidRDefault="00521B9A" w:rsidP="000F1755">
            <w:pPr>
              <w:rPr>
                <w:rFonts w:ascii="Arial" w:hAnsi="Arial" w:cs="Arial"/>
                <w:sz w:val="16"/>
                <w:szCs w:val="16"/>
              </w:rPr>
            </w:pPr>
          </w:p>
        </w:tc>
        <w:tc>
          <w:tcPr>
            <w:tcW w:w="2362" w:type="dxa"/>
          </w:tcPr>
          <w:p w:rsidR="00521B9A" w:rsidRDefault="00521B9A" w:rsidP="00063A5A">
            <w:pPr>
              <w:rPr>
                <w:rFonts w:ascii="Arial" w:hAnsi="Arial" w:cs="Arial"/>
                <w:sz w:val="16"/>
                <w:szCs w:val="16"/>
              </w:rPr>
            </w:pPr>
          </w:p>
          <w:p w:rsidR="00521B9A" w:rsidRPr="003D0670" w:rsidRDefault="00521B9A" w:rsidP="00063A5A">
            <w:pPr>
              <w:rPr>
                <w:rFonts w:ascii="Arial" w:hAnsi="Arial" w:cs="Arial"/>
                <w:sz w:val="16"/>
                <w:szCs w:val="16"/>
              </w:rPr>
            </w:pPr>
          </w:p>
        </w:tc>
        <w:tc>
          <w:tcPr>
            <w:tcW w:w="2363" w:type="dxa"/>
          </w:tcPr>
          <w:p w:rsidR="00521B9A" w:rsidRDefault="00521B9A" w:rsidP="00063A5A">
            <w:pPr>
              <w:rPr>
                <w:rFonts w:ascii="Arial" w:hAnsi="Arial" w:cs="Arial"/>
                <w:sz w:val="16"/>
                <w:szCs w:val="16"/>
              </w:rPr>
            </w:pPr>
          </w:p>
          <w:p w:rsidR="00521B9A" w:rsidRPr="003D0670" w:rsidRDefault="00521B9A" w:rsidP="00521B9A">
            <w:pPr>
              <w:rPr>
                <w:rFonts w:ascii="Arial" w:hAnsi="Arial" w:cs="Arial"/>
                <w:sz w:val="16"/>
                <w:szCs w:val="16"/>
              </w:rPr>
            </w:pPr>
          </w:p>
        </w:tc>
        <w:tc>
          <w:tcPr>
            <w:tcW w:w="2363" w:type="dxa"/>
          </w:tcPr>
          <w:p w:rsidR="00521B9A" w:rsidRDefault="00521B9A" w:rsidP="00063A5A">
            <w:pPr>
              <w:rPr>
                <w:rFonts w:ascii="Arial" w:hAnsi="Arial" w:cs="Arial"/>
                <w:sz w:val="16"/>
                <w:szCs w:val="16"/>
              </w:rPr>
            </w:pPr>
          </w:p>
          <w:p w:rsidR="00521B9A" w:rsidRDefault="00521B9A" w:rsidP="00063A5A">
            <w:pPr>
              <w:rPr>
                <w:rFonts w:ascii="Arial" w:hAnsi="Arial" w:cs="Arial"/>
                <w:sz w:val="16"/>
                <w:szCs w:val="16"/>
              </w:rPr>
            </w:pPr>
          </w:p>
          <w:p w:rsidR="00521B9A" w:rsidRPr="003D0670" w:rsidRDefault="00521B9A" w:rsidP="00521B9A">
            <w:pPr>
              <w:rPr>
                <w:rFonts w:ascii="Arial" w:hAnsi="Arial" w:cs="Arial"/>
                <w:sz w:val="16"/>
                <w:szCs w:val="16"/>
              </w:rPr>
            </w:pPr>
            <w:r>
              <w:rPr>
                <w:rFonts w:ascii="Arial" w:hAnsi="Arial" w:cs="Arial"/>
                <w:sz w:val="16"/>
                <w:szCs w:val="16"/>
              </w:rPr>
              <w:t xml:space="preserve">General adult </w:t>
            </w:r>
            <w:proofErr w:type="spellStart"/>
            <w:r>
              <w:rPr>
                <w:rFonts w:ascii="Arial" w:hAnsi="Arial" w:cs="Arial"/>
                <w:sz w:val="16"/>
                <w:szCs w:val="16"/>
              </w:rPr>
              <w:t>Derm</w:t>
            </w:r>
            <w:proofErr w:type="spellEnd"/>
            <w:r>
              <w:rPr>
                <w:rFonts w:ascii="Arial" w:hAnsi="Arial" w:cs="Arial"/>
                <w:sz w:val="16"/>
                <w:szCs w:val="16"/>
              </w:rPr>
              <w:t xml:space="preserve"> clinic </w:t>
            </w:r>
          </w:p>
          <w:p w:rsidR="00521B9A" w:rsidRDefault="00521B9A" w:rsidP="00063A5A">
            <w:pPr>
              <w:rPr>
                <w:rFonts w:ascii="Arial" w:hAnsi="Arial" w:cs="Arial"/>
                <w:sz w:val="16"/>
                <w:szCs w:val="16"/>
              </w:rPr>
            </w:pPr>
          </w:p>
          <w:p w:rsidR="00521B9A" w:rsidRDefault="00521B9A" w:rsidP="00063A5A">
            <w:pPr>
              <w:rPr>
                <w:rFonts w:ascii="Arial" w:hAnsi="Arial" w:cs="Arial"/>
                <w:sz w:val="16"/>
                <w:szCs w:val="16"/>
              </w:rPr>
            </w:pPr>
          </w:p>
          <w:p w:rsidR="00521B9A" w:rsidRPr="003D0670" w:rsidRDefault="00521B9A" w:rsidP="00063A5A">
            <w:pPr>
              <w:rPr>
                <w:rFonts w:ascii="Arial" w:hAnsi="Arial" w:cs="Arial"/>
                <w:sz w:val="16"/>
                <w:szCs w:val="16"/>
              </w:rPr>
            </w:pPr>
            <w:r>
              <w:rPr>
                <w:rFonts w:ascii="Arial" w:hAnsi="Arial" w:cs="Arial"/>
                <w:sz w:val="16"/>
                <w:szCs w:val="16"/>
              </w:rPr>
              <w:t>Weeks 2 and 4</w:t>
            </w:r>
          </w:p>
        </w:tc>
      </w:tr>
      <w:tr w:rsidR="00521B9A" w:rsidRPr="003D0670" w:rsidTr="00063A5A">
        <w:tc>
          <w:tcPr>
            <w:tcW w:w="2362" w:type="dxa"/>
          </w:tcPr>
          <w:p w:rsidR="00521B9A" w:rsidRPr="003D0670" w:rsidRDefault="00521B9A" w:rsidP="00063A5A">
            <w:pPr>
              <w:rPr>
                <w:rFonts w:ascii="Arial" w:hAnsi="Arial" w:cs="Arial"/>
                <w:sz w:val="16"/>
                <w:szCs w:val="16"/>
              </w:rPr>
            </w:pPr>
          </w:p>
          <w:p w:rsidR="00521B9A" w:rsidRPr="003D0670" w:rsidRDefault="00521B9A" w:rsidP="00063A5A">
            <w:pPr>
              <w:rPr>
                <w:rFonts w:ascii="Arial" w:hAnsi="Arial" w:cs="Arial"/>
                <w:sz w:val="16"/>
                <w:szCs w:val="16"/>
              </w:rPr>
            </w:pPr>
            <w:r w:rsidRPr="003D0670">
              <w:rPr>
                <w:rFonts w:ascii="Arial" w:hAnsi="Arial" w:cs="Arial"/>
                <w:sz w:val="16"/>
                <w:szCs w:val="16"/>
              </w:rPr>
              <w:t>PM</w:t>
            </w:r>
          </w:p>
        </w:tc>
        <w:tc>
          <w:tcPr>
            <w:tcW w:w="2362" w:type="dxa"/>
          </w:tcPr>
          <w:p w:rsidR="00521B9A" w:rsidRDefault="00521B9A" w:rsidP="00063A5A">
            <w:pPr>
              <w:rPr>
                <w:rFonts w:ascii="Arial" w:hAnsi="Arial" w:cs="Arial"/>
                <w:sz w:val="16"/>
                <w:szCs w:val="16"/>
              </w:rPr>
            </w:pPr>
          </w:p>
          <w:p w:rsidR="00521B9A" w:rsidRPr="003D0670" w:rsidRDefault="00521B9A" w:rsidP="00063A5A">
            <w:pPr>
              <w:rPr>
                <w:rFonts w:ascii="Arial" w:hAnsi="Arial" w:cs="Arial"/>
                <w:sz w:val="16"/>
                <w:szCs w:val="16"/>
              </w:rPr>
            </w:pPr>
          </w:p>
        </w:tc>
        <w:tc>
          <w:tcPr>
            <w:tcW w:w="2362" w:type="dxa"/>
          </w:tcPr>
          <w:p w:rsidR="00521B9A" w:rsidRDefault="00521B9A" w:rsidP="00063A5A">
            <w:pPr>
              <w:rPr>
                <w:rFonts w:ascii="Arial" w:hAnsi="Arial" w:cs="Arial"/>
                <w:sz w:val="16"/>
                <w:szCs w:val="16"/>
              </w:rPr>
            </w:pPr>
          </w:p>
          <w:p w:rsidR="000F1755" w:rsidRDefault="000F1755" w:rsidP="000F1755">
            <w:pPr>
              <w:rPr>
                <w:rFonts w:ascii="Arial" w:hAnsi="Arial" w:cs="Arial"/>
                <w:sz w:val="16"/>
                <w:szCs w:val="16"/>
              </w:rPr>
            </w:pPr>
            <w:r>
              <w:rPr>
                <w:rFonts w:ascii="Arial" w:hAnsi="Arial" w:cs="Arial"/>
                <w:sz w:val="16"/>
                <w:szCs w:val="16"/>
              </w:rPr>
              <w:t xml:space="preserve">General adult </w:t>
            </w:r>
            <w:proofErr w:type="spellStart"/>
            <w:r>
              <w:rPr>
                <w:rFonts w:ascii="Arial" w:hAnsi="Arial" w:cs="Arial"/>
                <w:sz w:val="16"/>
                <w:szCs w:val="16"/>
              </w:rPr>
              <w:t>Derm</w:t>
            </w:r>
            <w:proofErr w:type="spellEnd"/>
            <w:r>
              <w:rPr>
                <w:rFonts w:ascii="Arial" w:hAnsi="Arial" w:cs="Arial"/>
                <w:sz w:val="16"/>
                <w:szCs w:val="16"/>
              </w:rPr>
              <w:t xml:space="preserve"> clinic</w:t>
            </w:r>
          </w:p>
          <w:p w:rsidR="000F1755" w:rsidRDefault="000F1755" w:rsidP="000F1755">
            <w:pPr>
              <w:rPr>
                <w:rFonts w:ascii="Arial" w:hAnsi="Arial" w:cs="Arial"/>
                <w:sz w:val="16"/>
                <w:szCs w:val="16"/>
              </w:rPr>
            </w:pPr>
          </w:p>
          <w:p w:rsidR="000F1755" w:rsidRDefault="000F1755" w:rsidP="000F1755">
            <w:pPr>
              <w:rPr>
                <w:rFonts w:ascii="Arial" w:hAnsi="Arial" w:cs="Arial"/>
                <w:sz w:val="16"/>
                <w:szCs w:val="16"/>
              </w:rPr>
            </w:pPr>
            <w:r>
              <w:rPr>
                <w:rFonts w:ascii="Arial" w:hAnsi="Arial" w:cs="Arial"/>
                <w:sz w:val="16"/>
                <w:szCs w:val="16"/>
              </w:rPr>
              <w:t>weekly</w:t>
            </w:r>
          </w:p>
          <w:p w:rsidR="00521B9A" w:rsidRPr="003D0670" w:rsidRDefault="00521B9A" w:rsidP="00063A5A">
            <w:pPr>
              <w:rPr>
                <w:rFonts w:ascii="Arial" w:hAnsi="Arial" w:cs="Arial"/>
                <w:sz w:val="16"/>
                <w:szCs w:val="16"/>
              </w:rPr>
            </w:pPr>
          </w:p>
        </w:tc>
        <w:tc>
          <w:tcPr>
            <w:tcW w:w="2362" w:type="dxa"/>
          </w:tcPr>
          <w:p w:rsidR="00521B9A" w:rsidRPr="003D0670" w:rsidRDefault="00521B9A" w:rsidP="00063A5A">
            <w:pPr>
              <w:rPr>
                <w:rFonts w:ascii="Arial" w:hAnsi="Arial" w:cs="Arial"/>
                <w:sz w:val="16"/>
                <w:szCs w:val="16"/>
              </w:rPr>
            </w:pPr>
          </w:p>
          <w:p w:rsidR="00521B9A" w:rsidRPr="003D0670" w:rsidRDefault="00521B9A" w:rsidP="00063A5A">
            <w:pPr>
              <w:rPr>
                <w:rFonts w:ascii="Arial" w:hAnsi="Arial" w:cs="Arial"/>
                <w:sz w:val="16"/>
                <w:szCs w:val="16"/>
              </w:rPr>
            </w:pPr>
          </w:p>
        </w:tc>
        <w:tc>
          <w:tcPr>
            <w:tcW w:w="2363" w:type="dxa"/>
          </w:tcPr>
          <w:p w:rsidR="00521B9A" w:rsidRDefault="00521B9A" w:rsidP="00063A5A">
            <w:pPr>
              <w:rPr>
                <w:rFonts w:ascii="Arial" w:hAnsi="Arial" w:cs="Arial"/>
                <w:sz w:val="16"/>
                <w:szCs w:val="16"/>
              </w:rPr>
            </w:pPr>
          </w:p>
          <w:p w:rsidR="00521B9A" w:rsidRPr="003D0670" w:rsidRDefault="00521B9A" w:rsidP="00521B9A">
            <w:pPr>
              <w:rPr>
                <w:rFonts w:ascii="Arial" w:hAnsi="Arial" w:cs="Arial"/>
                <w:sz w:val="16"/>
                <w:szCs w:val="16"/>
              </w:rPr>
            </w:pPr>
          </w:p>
        </w:tc>
        <w:tc>
          <w:tcPr>
            <w:tcW w:w="2363" w:type="dxa"/>
          </w:tcPr>
          <w:p w:rsidR="00521B9A" w:rsidRDefault="00521B9A" w:rsidP="00063A5A">
            <w:pPr>
              <w:rPr>
                <w:rFonts w:ascii="Arial" w:hAnsi="Arial" w:cs="Arial"/>
                <w:sz w:val="16"/>
                <w:szCs w:val="16"/>
              </w:rPr>
            </w:pPr>
          </w:p>
          <w:p w:rsidR="00521B9A" w:rsidRDefault="00521B9A" w:rsidP="00521B9A">
            <w:pPr>
              <w:rPr>
                <w:rFonts w:ascii="Arial" w:hAnsi="Arial" w:cs="Arial"/>
                <w:sz w:val="16"/>
                <w:szCs w:val="16"/>
              </w:rPr>
            </w:pPr>
          </w:p>
          <w:p w:rsidR="00521B9A" w:rsidRPr="003D0670" w:rsidRDefault="00521B9A" w:rsidP="00521B9A">
            <w:pPr>
              <w:rPr>
                <w:rFonts w:ascii="Arial" w:hAnsi="Arial" w:cs="Arial"/>
                <w:sz w:val="16"/>
                <w:szCs w:val="16"/>
              </w:rPr>
            </w:pPr>
            <w:r>
              <w:rPr>
                <w:rFonts w:ascii="Arial" w:hAnsi="Arial" w:cs="Arial"/>
                <w:sz w:val="16"/>
                <w:szCs w:val="16"/>
              </w:rPr>
              <w:t xml:space="preserve">General adult </w:t>
            </w:r>
            <w:proofErr w:type="spellStart"/>
            <w:r>
              <w:rPr>
                <w:rFonts w:ascii="Arial" w:hAnsi="Arial" w:cs="Arial"/>
                <w:sz w:val="16"/>
                <w:szCs w:val="16"/>
              </w:rPr>
              <w:t>Derm</w:t>
            </w:r>
            <w:proofErr w:type="spellEnd"/>
            <w:r>
              <w:rPr>
                <w:rFonts w:ascii="Arial" w:hAnsi="Arial" w:cs="Arial"/>
                <w:sz w:val="16"/>
                <w:szCs w:val="16"/>
              </w:rPr>
              <w:t xml:space="preserve"> clinic </w:t>
            </w:r>
          </w:p>
          <w:p w:rsidR="00521B9A" w:rsidRDefault="00521B9A" w:rsidP="00521B9A">
            <w:pPr>
              <w:rPr>
                <w:rFonts w:ascii="Arial" w:hAnsi="Arial" w:cs="Arial"/>
                <w:sz w:val="16"/>
                <w:szCs w:val="16"/>
              </w:rPr>
            </w:pPr>
          </w:p>
          <w:p w:rsidR="00521B9A" w:rsidRDefault="00521B9A" w:rsidP="00521B9A">
            <w:pPr>
              <w:rPr>
                <w:rFonts w:ascii="Arial" w:hAnsi="Arial" w:cs="Arial"/>
                <w:sz w:val="16"/>
                <w:szCs w:val="16"/>
              </w:rPr>
            </w:pPr>
          </w:p>
          <w:p w:rsidR="00521B9A" w:rsidRPr="003D0670" w:rsidRDefault="00521B9A" w:rsidP="00521B9A">
            <w:pPr>
              <w:rPr>
                <w:rFonts w:ascii="Arial" w:hAnsi="Arial" w:cs="Arial"/>
                <w:sz w:val="16"/>
                <w:szCs w:val="16"/>
              </w:rPr>
            </w:pPr>
            <w:r>
              <w:rPr>
                <w:rFonts w:ascii="Arial" w:hAnsi="Arial" w:cs="Arial"/>
                <w:sz w:val="16"/>
                <w:szCs w:val="16"/>
              </w:rPr>
              <w:t>Weeks 2 and 4</w:t>
            </w:r>
          </w:p>
        </w:tc>
      </w:tr>
    </w:tbl>
    <w:p w:rsidR="00521B9A" w:rsidRDefault="00521B9A" w:rsidP="00521B9A">
      <w:pPr>
        <w:ind w:left="720"/>
        <w:jc w:val="both"/>
        <w:rPr>
          <w:rFonts w:ascii="Arial" w:hAnsi="Arial" w:cs="Arial"/>
          <w:sz w:val="22"/>
        </w:rPr>
      </w:pPr>
    </w:p>
    <w:p w:rsidR="00521B9A" w:rsidRDefault="00521B9A" w:rsidP="00521B9A">
      <w:pPr>
        <w:jc w:val="both"/>
        <w:rPr>
          <w:rFonts w:ascii="Arial" w:hAnsi="Arial" w:cs="Arial"/>
          <w:b/>
          <w:sz w:val="22"/>
        </w:rPr>
      </w:pPr>
    </w:p>
    <w:p w:rsidR="00521B9A" w:rsidRPr="00EF699D" w:rsidRDefault="00521B9A" w:rsidP="00521B9A">
      <w:pPr>
        <w:jc w:val="both"/>
        <w:rPr>
          <w:szCs w:val="20"/>
          <w:lang w:eastAsia="en-US"/>
        </w:rPr>
      </w:pP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p>
    <w:p w:rsidR="00521B9A" w:rsidRDefault="00104765" w:rsidP="00104765">
      <w:pPr>
        <w:jc w:val="both"/>
        <w:rPr>
          <w:rFonts w:ascii="Arial" w:hAnsi="Arial" w:cs="Arial"/>
          <w:sz w:val="22"/>
        </w:rPr>
      </w:pPr>
      <w:proofErr w:type="gramStart"/>
      <w:r>
        <w:rPr>
          <w:rFonts w:ascii="Arial" w:hAnsi="Arial" w:cs="Arial"/>
          <w:sz w:val="22"/>
        </w:rPr>
        <w:t xml:space="preserve">(iv) </w:t>
      </w:r>
      <w:r w:rsidR="00521B9A">
        <w:rPr>
          <w:rFonts w:ascii="Arial" w:hAnsi="Arial" w:cs="Arial"/>
          <w:sz w:val="22"/>
        </w:rPr>
        <w:t>For</w:t>
      </w:r>
      <w:proofErr w:type="gramEnd"/>
      <w:r w:rsidR="00521B9A">
        <w:rPr>
          <w:rFonts w:ascii="Arial" w:hAnsi="Arial" w:cs="Arial"/>
          <w:sz w:val="22"/>
        </w:rPr>
        <w:t xml:space="preserve"> all administrative matters, the appointee will be responsible to the Clinical Lead.</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r>
        <w:rPr>
          <w:rFonts w:ascii="Arial" w:hAnsi="Arial" w:cs="Arial"/>
          <w:sz w:val="22"/>
        </w:rPr>
        <w:t xml:space="preserve">(v) All job </w:t>
      </w:r>
      <w:r w:rsidR="00104765">
        <w:rPr>
          <w:rFonts w:ascii="Arial" w:hAnsi="Arial" w:cs="Arial"/>
          <w:sz w:val="22"/>
        </w:rPr>
        <w:t>plans may be subject to change</w:t>
      </w:r>
      <w:r>
        <w:rPr>
          <w:rFonts w:ascii="Arial" w:hAnsi="Arial" w:cs="Arial"/>
          <w:sz w:val="22"/>
        </w:rPr>
        <w:t>.</w:t>
      </w:r>
    </w:p>
    <w:p w:rsidR="00521B9A" w:rsidRDefault="00521B9A" w:rsidP="00521B9A">
      <w:pPr>
        <w:jc w:val="both"/>
        <w:rPr>
          <w:rFonts w:ascii="Arial" w:hAnsi="Arial" w:cs="Arial"/>
          <w:sz w:val="22"/>
        </w:rPr>
      </w:pPr>
    </w:p>
    <w:p w:rsidR="00521B9A" w:rsidRDefault="00521B9A" w:rsidP="00521B9A">
      <w:pPr>
        <w:pStyle w:val="Heading4"/>
        <w:rPr>
          <w:rFonts w:ascii="Arial" w:hAnsi="Arial" w:cs="Arial"/>
        </w:rPr>
      </w:pPr>
      <w:r>
        <w:rPr>
          <w:rFonts w:ascii="Arial" w:hAnsi="Arial" w:cs="Arial"/>
        </w:rPr>
        <w:lastRenderedPageBreak/>
        <w:t>STUDY AND TRAINING</w:t>
      </w:r>
    </w:p>
    <w:p w:rsidR="00521B9A" w:rsidRDefault="00521B9A" w:rsidP="00521B9A">
      <w:pPr>
        <w:jc w:val="both"/>
        <w:rPr>
          <w:rFonts w:ascii="Arial" w:hAnsi="Arial" w:cs="Arial"/>
          <w:b/>
          <w:sz w:val="22"/>
          <w:u w:val="single"/>
        </w:rPr>
      </w:pPr>
    </w:p>
    <w:p w:rsidR="00521B9A" w:rsidRDefault="00521B9A" w:rsidP="00521B9A">
      <w:pPr>
        <w:jc w:val="both"/>
        <w:rPr>
          <w:rFonts w:ascii="Arial" w:hAnsi="Arial" w:cs="Arial"/>
          <w:sz w:val="22"/>
        </w:rPr>
      </w:pPr>
      <w:r>
        <w:rPr>
          <w:rFonts w:ascii="Arial" w:hAnsi="Arial" w:cs="Arial"/>
          <w:sz w:val="22"/>
        </w:rPr>
        <w:t>We encourage further training and study and are happy to support where possible and in alignment with the needs of the service.</w:t>
      </w:r>
    </w:p>
    <w:p w:rsidR="00521B9A" w:rsidRDefault="00521B9A" w:rsidP="00521B9A">
      <w:pPr>
        <w:jc w:val="both"/>
        <w:rPr>
          <w:rFonts w:ascii="Arial" w:hAnsi="Arial" w:cs="Arial"/>
          <w:sz w:val="22"/>
        </w:rPr>
      </w:pPr>
    </w:p>
    <w:p w:rsidR="00521B9A" w:rsidRDefault="00521B9A" w:rsidP="00521B9A">
      <w:pPr>
        <w:pStyle w:val="Heading4"/>
        <w:rPr>
          <w:rFonts w:ascii="Arial" w:hAnsi="Arial" w:cs="Arial"/>
        </w:rPr>
      </w:pPr>
      <w:r>
        <w:rPr>
          <w:rFonts w:ascii="Arial" w:hAnsi="Arial" w:cs="Arial"/>
        </w:rPr>
        <w:t>QUALIFICATIONS AND EXPERIENCE</w:t>
      </w:r>
    </w:p>
    <w:p w:rsidR="00521B9A" w:rsidRDefault="00521B9A" w:rsidP="00521B9A">
      <w:pPr>
        <w:jc w:val="both"/>
        <w:rPr>
          <w:rFonts w:ascii="Arial" w:hAnsi="Arial" w:cs="Arial"/>
          <w:b/>
          <w:sz w:val="22"/>
          <w:u w:val="single"/>
        </w:rPr>
      </w:pPr>
    </w:p>
    <w:p w:rsidR="00521B9A" w:rsidRDefault="00521B9A" w:rsidP="00521B9A">
      <w:pPr>
        <w:jc w:val="both"/>
        <w:rPr>
          <w:rFonts w:ascii="Arial" w:hAnsi="Arial" w:cs="Arial"/>
          <w:sz w:val="22"/>
        </w:rPr>
      </w:pPr>
      <w:r>
        <w:rPr>
          <w:rFonts w:ascii="Arial" w:hAnsi="Arial" w:cs="Arial"/>
          <w:sz w:val="22"/>
        </w:rPr>
        <w:t xml:space="preserve">Candidates should have MRCGP.  Candidates should ideally have some prior experience of Dermatology and ideally will be able to demonstrate an interest in Dermatology </w:t>
      </w:r>
      <w:proofErr w:type="spellStart"/>
      <w:r>
        <w:rPr>
          <w:rFonts w:ascii="Arial" w:hAnsi="Arial" w:cs="Arial"/>
          <w:sz w:val="22"/>
        </w:rPr>
        <w:t>eg</w:t>
      </w:r>
      <w:proofErr w:type="spellEnd"/>
      <w:r>
        <w:rPr>
          <w:rFonts w:ascii="Arial" w:hAnsi="Arial" w:cs="Arial"/>
          <w:sz w:val="22"/>
        </w:rPr>
        <w:t xml:space="preserve"> membership of an appropriate society, previous meeting attendance. Continuous registration with the General Medical Council is mandatory. </w:t>
      </w:r>
    </w:p>
    <w:p w:rsidR="00521B9A" w:rsidRDefault="00521B9A" w:rsidP="00521B9A">
      <w:pPr>
        <w:jc w:val="both"/>
        <w:rPr>
          <w:rFonts w:ascii="Arial" w:hAnsi="Arial" w:cs="Arial"/>
          <w:sz w:val="22"/>
        </w:rPr>
      </w:pPr>
    </w:p>
    <w:p w:rsidR="00521B9A" w:rsidRDefault="00521B9A" w:rsidP="00521B9A">
      <w:pPr>
        <w:pStyle w:val="Heading4"/>
        <w:rPr>
          <w:rFonts w:ascii="Arial" w:hAnsi="Arial" w:cs="Arial"/>
        </w:rPr>
      </w:pPr>
      <w:r>
        <w:rPr>
          <w:rFonts w:ascii="Arial" w:hAnsi="Arial" w:cs="Arial"/>
        </w:rPr>
        <w:t>CONDITIONS OF SERVICE</w:t>
      </w:r>
    </w:p>
    <w:p w:rsidR="00521B9A" w:rsidRDefault="00521B9A" w:rsidP="00521B9A">
      <w:pPr>
        <w:jc w:val="both"/>
        <w:rPr>
          <w:rFonts w:ascii="Arial" w:hAnsi="Arial" w:cs="Arial"/>
          <w:b/>
          <w:sz w:val="22"/>
          <w:u w:val="single"/>
        </w:rPr>
      </w:pPr>
    </w:p>
    <w:p w:rsidR="00521B9A" w:rsidRDefault="00521B9A" w:rsidP="00521B9A">
      <w:pPr>
        <w:pStyle w:val="BodyText"/>
        <w:rPr>
          <w:rFonts w:ascii="Arial" w:hAnsi="Arial" w:cs="Arial"/>
          <w:sz w:val="22"/>
        </w:rPr>
      </w:pPr>
      <w:r>
        <w:rPr>
          <w:rFonts w:ascii="Arial" w:hAnsi="Arial" w:cs="Arial"/>
          <w:sz w:val="22"/>
        </w:rPr>
        <w:t>The terms and conditions of employment will be subject to Trust Terms and Conditions of Service for Medical Staff as agreed locally with the BMA Local Negotiating Committee. Until such time as they come into force you will remain subject to the Terms and Conditions of Service for Hospital Medical and Dental Staff (Scotland) and the General Whitley Council Conditions of Service both as amended from time to time.</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r>
        <w:rPr>
          <w:rFonts w:ascii="Arial" w:hAnsi="Arial" w:cs="Arial"/>
          <w:sz w:val="22"/>
        </w:rPr>
        <w:t xml:space="preserve">Membership of the NHS Superannuation Scheme is not compulsory, but all medical and dental staff </w:t>
      </w:r>
      <w:proofErr w:type="gramStart"/>
      <w:r>
        <w:rPr>
          <w:rFonts w:ascii="Arial" w:hAnsi="Arial" w:cs="Arial"/>
          <w:sz w:val="22"/>
        </w:rPr>
        <w:t>are</w:t>
      </w:r>
      <w:proofErr w:type="gramEnd"/>
      <w:r>
        <w:rPr>
          <w:rFonts w:ascii="Arial" w:hAnsi="Arial" w:cs="Arial"/>
          <w:sz w:val="22"/>
        </w:rPr>
        <w:t xml:space="preserve"> entitled to choose if they wish to join the scheme. Until such time as a positive option not to join the scheme is expressed, a member of staff will be regarded as a member of the scheme from the first day of service. This will not affect any individual right to make alternative arrangements. Initially, the employment covered in this contract will be contracted out of the State Pension Scheme.</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r>
        <w:rPr>
          <w:rFonts w:ascii="Arial" w:hAnsi="Arial" w:cs="Arial"/>
          <w:sz w:val="22"/>
        </w:rPr>
        <w:t>A successful applicant taking up appointment will become subject to the April 2004 revision of the Terms and Conditions of Service for Hospital Medical and Dental Staff and Doctors in Public Health and the Community Health Service (Scotland) – Consultant Grade.</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r>
        <w:rPr>
          <w:rFonts w:ascii="Arial" w:hAnsi="Arial" w:cs="Arial"/>
          <w:sz w:val="22"/>
        </w:rPr>
        <w:t>It is a condition of employment that the Trust is satisfied of the medical fitness of the appointee to carry out the duties of the post. This will include the completion of a medical questionnaire and may include a medical examination.</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p>
    <w:p w:rsidR="00521B9A" w:rsidRPr="004717DE" w:rsidRDefault="00521B9A" w:rsidP="00521B9A">
      <w:pPr>
        <w:rPr>
          <w:rFonts w:ascii="Arial" w:hAnsi="Arial" w:cs="Arial"/>
          <w:b/>
          <w:sz w:val="22"/>
          <w:szCs w:val="22"/>
          <w:u w:val="single"/>
        </w:rPr>
      </w:pPr>
      <w:r w:rsidRPr="004717DE">
        <w:rPr>
          <w:rFonts w:ascii="Arial" w:hAnsi="Arial" w:cs="Arial"/>
          <w:b/>
          <w:sz w:val="22"/>
          <w:szCs w:val="22"/>
          <w:u w:val="single"/>
        </w:rPr>
        <w:t>RESPONSIBILITY FOR RECORDS MANAGEMENT</w:t>
      </w:r>
    </w:p>
    <w:p w:rsidR="00521B9A" w:rsidRDefault="00521B9A" w:rsidP="00521B9A">
      <w:pPr>
        <w:rPr>
          <w:b/>
        </w:rPr>
      </w:pPr>
    </w:p>
    <w:p w:rsidR="00521B9A" w:rsidRPr="004717DE" w:rsidRDefault="00521B9A" w:rsidP="00521B9A">
      <w:pPr>
        <w:jc w:val="both"/>
        <w:rPr>
          <w:rFonts w:ascii="Arial" w:hAnsi="Arial" w:cs="Arial"/>
          <w:sz w:val="22"/>
          <w:szCs w:val="22"/>
        </w:rPr>
      </w:pPr>
      <w:r w:rsidRPr="004717DE">
        <w:rPr>
          <w:rFonts w:ascii="Arial" w:hAnsi="Arial" w:cs="Arial"/>
          <w:sz w:val="22"/>
          <w:szCs w:val="22"/>
        </w:rPr>
        <w:t>All records created in the course of the business of NHS Tayside are corporate records and are public records under the terms of the Public Records (Scotland) Act 1937.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521B9A" w:rsidRDefault="00521B9A" w:rsidP="00521B9A">
      <w:pPr>
        <w:jc w:val="both"/>
        <w:rPr>
          <w:rFonts w:ascii="Arial" w:hAnsi="Arial" w:cs="Arial"/>
          <w:sz w:val="22"/>
        </w:rPr>
      </w:pPr>
    </w:p>
    <w:p w:rsidR="00521B9A" w:rsidRDefault="00521B9A" w:rsidP="00521B9A">
      <w:pPr>
        <w:jc w:val="both"/>
        <w:rPr>
          <w:rFonts w:ascii="Arial" w:hAnsi="Arial" w:cs="Arial"/>
          <w:sz w:val="22"/>
        </w:rPr>
      </w:pPr>
    </w:p>
    <w:p w:rsidR="00521B9A" w:rsidRDefault="00521B9A" w:rsidP="00521B9A">
      <w:pPr>
        <w:pStyle w:val="Heading4"/>
        <w:rPr>
          <w:rFonts w:ascii="Arial" w:hAnsi="Arial" w:cs="Arial"/>
        </w:rPr>
      </w:pPr>
      <w:r>
        <w:rPr>
          <w:rFonts w:ascii="Arial" w:hAnsi="Arial" w:cs="Arial"/>
        </w:rPr>
        <w:t>FURTHER INFORMATION</w:t>
      </w:r>
    </w:p>
    <w:p w:rsidR="00521B9A" w:rsidRDefault="00521B9A" w:rsidP="00521B9A">
      <w:pPr>
        <w:jc w:val="both"/>
        <w:rPr>
          <w:rFonts w:ascii="Arial" w:hAnsi="Arial" w:cs="Arial"/>
          <w:b/>
          <w:sz w:val="22"/>
          <w:u w:val="single"/>
        </w:rPr>
      </w:pPr>
    </w:p>
    <w:p w:rsidR="00427D70" w:rsidRDefault="00521B9A" w:rsidP="00104765">
      <w:pPr>
        <w:pStyle w:val="BodyText"/>
      </w:pPr>
      <w:r>
        <w:rPr>
          <w:rFonts w:ascii="Arial" w:hAnsi="Arial" w:cs="Arial"/>
          <w:sz w:val="22"/>
        </w:rPr>
        <w:t xml:space="preserve">Information on facilities in </w:t>
      </w:r>
      <w:proofErr w:type="spellStart"/>
      <w:r>
        <w:rPr>
          <w:rFonts w:ascii="Arial" w:hAnsi="Arial" w:cs="Arial"/>
          <w:sz w:val="22"/>
        </w:rPr>
        <w:t>Tayside</w:t>
      </w:r>
      <w:proofErr w:type="spellEnd"/>
      <w:r>
        <w:rPr>
          <w:rFonts w:ascii="Arial" w:hAnsi="Arial" w:cs="Arial"/>
          <w:sz w:val="22"/>
        </w:rPr>
        <w:t xml:space="preserve">, the </w:t>
      </w:r>
      <w:proofErr w:type="spellStart"/>
      <w:r>
        <w:rPr>
          <w:rFonts w:ascii="Arial" w:hAnsi="Arial" w:cs="Arial"/>
          <w:sz w:val="22"/>
        </w:rPr>
        <w:t>organisation</w:t>
      </w:r>
      <w:proofErr w:type="spellEnd"/>
      <w:r>
        <w:rPr>
          <w:rFonts w:ascii="Arial" w:hAnsi="Arial" w:cs="Arial"/>
          <w:sz w:val="22"/>
        </w:rPr>
        <w:t xml:space="preserve"> of duties and other aspects of the appointment can be obtained from the Clinical Lead, Dr </w:t>
      </w:r>
      <w:proofErr w:type="spellStart"/>
      <w:r w:rsidR="004E3DEE">
        <w:rPr>
          <w:rFonts w:ascii="Arial" w:hAnsi="Arial" w:cs="Arial"/>
          <w:sz w:val="22"/>
        </w:rPr>
        <w:t>Sharizan</w:t>
      </w:r>
      <w:proofErr w:type="spellEnd"/>
      <w:r w:rsidR="004E3DEE">
        <w:rPr>
          <w:rFonts w:ascii="Arial" w:hAnsi="Arial" w:cs="Arial"/>
          <w:sz w:val="22"/>
        </w:rPr>
        <w:t xml:space="preserve"> </w:t>
      </w:r>
      <w:proofErr w:type="spellStart"/>
      <w:r w:rsidR="004E3DEE">
        <w:rPr>
          <w:rFonts w:ascii="Arial" w:hAnsi="Arial" w:cs="Arial"/>
          <w:sz w:val="22"/>
        </w:rPr>
        <w:t>Ghaffar</w:t>
      </w:r>
      <w:proofErr w:type="spellEnd"/>
      <w:r w:rsidR="004E3DEE">
        <w:rPr>
          <w:rFonts w:ascii="Arial" w:hAnsi="Arial" w:cs="Arial"/>
          <w:sz w:val="22"/>
        </w:rPr>
        <w:t xml:space="preserve"> </w:t>
      </w:r>
      <w:r>
        <w:rPr>
          <w:rFonts w:ascii="Arial" w:hAnsi="Arial" w:cs="Arial"/>
          <w:sz w:val="22"/>
        </w:rPr>
        <w:t>(c</w:t>
      </w:r>
      <w:r w:rsidRPr="00F90EDE">
        <w:rPr>
          <w:rFonts w:ascii="Arial" w:hAnsi="Arial" w:cs="Arial"/>
          <w:sz w:val="22"/>
        </w:rPr>
        <w:t xml:space="preserve">ontact may be made via the secretary, telephone 01382 660111 </w:t>
      </w:r>
      <w:proofErr w:type="gramStart"/>
      <w:r w:rsidRPr="00F90EDE">
        <w:rPr>
          <w:rFonts w:ascii="Arial" w:hAnsi="Arial" w:cs="Arial"/>
          <w:sz w:val="22"/>
        </w:rPr>
        <w:t>extension</w:t>
      </w:r>
      <w:proofErr w:type="gramEnd"/>
      <w:r w:rsidRPr="00F90EDE">
        <w:rPr>
          <w:rFonts w:ascii="Arial" w:hAnsi="Arial" w:cs="Arial"/>
          <w:sz w:val="22"/>
        </w:rPr>
        <w:t xml:space="preserve"> 3</w:t>
      </w:r>
      <w:r>
        <w:rPr>
          <w:rFonts w:ascii="Arial" w:hAnsi="Arial" w:cs="Arial"/>
          <w:sz w:val="22"/>
        </w:rPr>
        <w:t>3901).</w:t>
      </w:r>
      <w:r w:rsidRPr="00F90EDE">
        <w:rPr>
          <w:rFonts w:ascii="Arial" w:hAnsi="Arial" w:cs="Arial"/>
          <w:sz w:val="22"/>
        </w:rPr>
        <w:t xml:space="preserve"> </w:t>
      </w:r>
    </w:p>
    <w:sectPr w:rsidR="00427D70" w:rsidSect="00427D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6450A"/>
    <w:multiLevelType w:val="singleLevel"/>
    <w:tmpl w:val="4E22CC60"/>
    <w:lvl w:ilvl="0">
      <w:start w:val="1"/>
      <w:numFmt w:val="lowerRoman"/>
      <w:lvlText w:val="(%1)"/>
      <w:lvlJc w:val="left"/>
      <w:pPr>
        <w:tabs>
          <w:tab w:val="num" w:pos="720"/>
        </w:tabs>
        <w:ind w:left="720" w:hanging="720"/>
      </w:pPr>
      <w:rPr>
        <w:rFonts w:hint="default"/>
      </w:rPr>
    </w:lvl>
  </w:abstractNum>
  <w:abstractNum w:abstractNumId="1">
    <w:nsid w:val="46160508"/>
    <w:multiLevelType w:val="singleLevel"/>
    <w:tmpl w:val="4E22CC60"/>
    <w:lvl w:ilvl="0">
      <w:start w:val="1"/>
      <w:numFmt w:val="lowerRoman"/>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B9A"/>
    <w:rsid w:val="000000BB"/>
    <w:rsid w:val="0000718D"/>
    <w:rsid w:val="0003042A"/>
    <w:rsid w:val="00043560"/>
    <w:rsid w:val="00051E6F"/>
    <w:rsid w:val="00053E79"/>
    <w:rsid w:val="00063870"/>
    <w:rsid w:val="0009117B"/>
    <w:rsid w:val="00092116"/>
    <w:rsid w:val="000A30CB"/>
    <w:rsid w:val="000B5128"/>
    <w:rsid w:val="000F1755"/>
    <w:rsid w:val="00104765"/>
    <w:rsid w:val="00146041"/>
    <w:rsid w:val="00147FD0"/>
    <w:rsid w:val="00154C79"/>
    <w:rsid w:val="0017086D"/>
    <w:rsid w:val="001963BA"/>
    <w:rsid w:val="001A32C5"/>
    <w:rsid w:val="001E0DDD"/>
    <w:rsid w:val="00233ECD"/>
    <w:rsid w:val="0025301E"/>
    <w:rsid w:val="0025759D"/>
    <w:rsid w:val="002862C5"/>
    <w:rsid w:val="002D5A89"/>
    <w:rsid w:val="002F085D"/>
    <w:rsid w:val="002F3D17"/>
    <w:rsid w:val="00312DF9"/>
    <w:rsid w:val="00327F04"/>
    <w:rsid w:val="00341A45"/>
    <w:rsid w:val="00367A64"/>
    <w:rsid w:val="003738CC"/>
    <w:rsid w:val="003A0737"/>
    <w:rsid w:val="003B7D59"/>
    <w:rsid w:val="003D52D8"/>
    <w:rsid w:val="003E62C7"/>
    <w:rsid w:val="003F2D18"/>
    <w:rsid w:val="00405EEC"/>
    <w:rsid w:val="0041020C"/>
    <w:rsid w:val="00427D70"/>
    <w:rsid w:val="00437797"/>
    <w:rsid w:val="00465D85"/>
    <w:rsid w:val="00471BF8"/>
    <w:rsid w:val="0048251B"/>
    <w:rsid w:val="004B40CE"/>
    <w:rsid w:val="004D6EE9"/>
    <w:rsid w:val="004E3DEE"/>
    <w:rsid w:val="004E7455"/>
    <w:rsid w:val="00502081"/>
    <w:rsid w:val="00504EC7"/>
    <w:rsid w:val="00520AB2"/>
    <w:rsid w:val="00521B9A"/>
    <w:rsid w:val="0052746C"/>
    <w:rsid w:val="0057306D"/>
    <w:rsid w:val="00587AF2"/>
    <w:rsid w:val="00593438"/>
    <w:rsid w:val="00607CEF"/>
    <w:rsid w:val="00656F96"/>
    <w:rsid w:val="0069361E"/>
    <w:rsid w:val="006A50DC"/>
    <w:rsid w:val="006B6642"/>
    <w:rsid w:val="006B7F64"/>
    <w:rsid w:val="006E5020"/>
    <w:rsid w:val="00714BBF"/>
    <w:rsid w:val="0071774A"/>
    <w:rsid w:val="00724A0A"/>
    <w:rsid w:val="0077223F"/>
    <w:rsid w:val="00777AFC"/>
    <w:rsid w:val="007D1284"/>
    <w:rsid w:val="007D19D0"/>
    <w:rsid w:val="007E7C73"/>
    <w:rsid w:val="00800B76"/>
    <w:rsid w:val="00810147"/>
    <w:rsid w:val="00840391"/>
    <w:rsid w:val="00845BB2"/>
    <w:rsid w:val="008477B4"/>
    <w:rsid w:val="008517B3"/>
    <w:rsid w:val="00856C7C"/>
    <w:rsid w:val="00860FFF"/>
    <w:rsid w:val="008906D8"/>
    <w:rsid w:val="00891433"/>
    <w:rsid w:val="00893D0D"/>
    <w:rsid w:val="008A5E9A"/>
    <w:rsid w:val="008E0A2A"/>
    <w:rsid w:val="0096491C"/>
    <w:rsid w:val="009672D7"/>
    <w:rsid w:val="00970210"/>
    <w:rsid w:val="00975FD9"/>
    <w:rsid w:val="00981A41"/>
    <w:rsid w:val="009A6B28"/>
    <w:rsid w:val="009C3E63"/>
    <w:rsid w:val="009E0421"/>
    <w:rsid w:val="00A16A3D"/>
    <w:rsid w:val="00A636C2"/>
    <w:rsid w:val="00A92BDD"/>
    <w:rsid w:val="00A94C43"/>
    <w:rsid w:val="00AA4839"/>
    <w:rsid w:val="00AD77AF"/>
    <w:rsid w:val="00B0430C"/>
    <w:rsid w:val="00B071D9"/>
    <w:rsid w:val="00B71348"/>
    <w:rsid w:val="00B73529"/>
    <w:rsid w:val="00B778FC"/>
    <w:rsid w:val="00BF1C80"/>
    <w:rsid w:val="00C03309"/>
    <w:rsid w:val="00C137B3"/>
    <w:rsid w:val="00C7437C"/>
    <w:rsid w:val="00C92E60"/>
    <w:rsid w:val="00CC01CD"/>
    <w:rsid w:val="00D36C6B"/>
    <w:rsid w:val="00D5169C"/>
    <w:rsid w:val="00D654B3"/>
    <w:rsid w:val="00D75992"/>
    <w:rsid w:val="00DC44CA"/>
    <w:rsid w:val="00DD5BC7"/>
    <w:rsid w:val="00DE3F58"/>
    <w:rsid w:val="00DE4396"/>
    <w:rsid w:val="00DE6341"/>
    <w:rsid w:val="00DF5498"/>
    <w:rsid w:val="00E151A5"/>
    <w:rsid w:val="00E250D0"/>
    <w:rsid w:val="00EC5503"/>
    <w:rsid w:val="00EC688F"/>
    <w:rsid w:val="00ED6A58"/>
    <w:rsid w:val="00ED6AD6"/>
    <w:rsid w:val="00EE763E"/>
    <w:rsid w:val="00EF10A3"/>
    <w:rsid w:val="00EF5B18"/>
    <w:rsid w:val="00F10E0D"/>
    <w:rsid w:val="00F1219C"/>
    <w:rsid w:val="00F61AA2"/>
    <w:rsid w:val="00F74FEC"/>
    <w:rsid w:val="00FB57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9A"/>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521B9A"/>
    <w:pPr>
      <w:keepNext/>
      <w:jc w:val="both"/>
      <w:outlineLvl w:val="2"/>
    </w:pPr>
    <w:rPr>
      <w:b/>
      <w:sz w:val="22"/>
      <w:szCs w:val="20"/>
      <w:lang w:eastAsia="en-US"/>
    </w:rPr>
  </w:style>
  <w:style w:type="paragraph" w:styleId="Heading4">
    <w:name w:val="heading 4"/>
    <w:basedOn w:val="Normal"/>
    <w:next w:val="Normal"/>
    <w:link w:val="Heading4Char"/>
    <w:qFormat/>
    <w:rsid w:val="00521B9A"/>
    <w:pPr>
      <w:keepNext/>
      <w:jc w:val="both"/>
      <w:outlineLvl w:val="3"/>
    </w:pPr>
    <w:rPr>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21B9A"/>
    <w:pPr>
      <w:jc w:val="center"/>
    </w:pPr>
    <w:rPr>
      <w:b/>
      <w:sz w:val="28"/>
      <w:szCs w:val="20"/>
      <w:lang w:eastAsia="en-US"/>
    </w:rPr>
  </w:style>
  <w:style w:type="character" w:customStyle="1" w:styleId="SubtitleChar">
    <w:name w:val="Subtitle Char"/>
    <w:basedOn w:val="DefaultParagraphFont"/>
    <w:link w:val="Subtitle"/>
    <w:rsid w:val="00521B9A"/>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521B9A"/>
    <w:rPr>
      <w:rFonts w:ascii="Times New Roman" w:eastAsia="Times New Roman" w:hAnsi="Times New Roman" w:cs="Times New Roman"/>
      <w:b/>
      <w:szCs w:val="20"/>
    </w:rPr>
  </w:style>
  <w:style w:type="character" w:customStyle="1" w:styleId="Heading4Char">
    <w:name w:val="Heading 4 Char"/>
    <w:basedOn w:val="DefaultParagraphFont"/>
    <w:link w:val="Heading4"/>
    <w:rsid w:val="00521B9A"/>
    <w:rPr>
      <w:rFonts w:ascii="Times New Roman" w:eastAsia="Times New Roman" w:hAnsi="Times New Roman" w:cs="Times New Roman"/>
      <w:b/>
      <w:szCs w:val="20"/>
      <w:u w:val="single"/>
    </w:rPr>
  </w:style>
  <w:style w:type="paragraph" w:styleId="ListParagraph">
    <w:name w:val="List Paragraph"/>
    <w:basedOn w:val="Normal"/>
    <w:uiPriority w:val="34"/>
    <w:qFormat/>
    <w:rsid w:val="00521B9A"/>
    <w:pPr>
      <w:ind w:left="720"/>
    </w:pPr>
  </w:style>
  <w:style w:type="table" w:styleId="TableGrid">
    <w:name w:val="Table Grid"/>
    <w:basedOn w:val="TableNormal"/>
    <w:uiPriority w:val="59"/>
    <w:rsid w:val="00521B9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21B9A"/>
    <w:pPr>
      <w:spacing w:after="120"/>
      <w:jc w:val="both"/>
    </w:pPr>
    <w:rPr>
      <w:szCs w:val="20"/>
      <w:lang w:val="en-US" w:eastAsia="en-US"/>
    </w:rPr>
  </w:style>
  <w:style w:type="character" w:customStyle="1" w:styleId="BodyTextChar">
    <w:name w:val="Body Text Char"/>
    <w:basedOn w:val="DefaultParagraphFont"/>
    <w:link w:val="BodyText"/>
    <w:rsid w:val="00521B9A"/>
    <w:rPr>
      <w:rFonts w:ascii="Times New Roman" w:eastAsia="Times New Roman"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Office Word</Application>
  <DocSecurity>0</DocSecurity>
  <Lines>31</Lines>
  <Paragraphs>8</Paragraphs>
  <ScaleCrop>false</ScaleCrop>
  <Company>NHS Tayside</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rmrhearn</dc:creator>
  <cp:lastModifiedBy>rmrhearn</cp:lastModifiedBy>
  <cp:revision>2</cp:revision>
  <dcterms:created xsi:type="dcterms:W3CDTF">2021-12-07T16:44:00Z</dcterms:created>
  <dcterms:modified xsi:type="dcterms:W3CDTF">2021-12-07T16:44:00Z</dcterms:modified>
</cp:coreProperties>
</file>