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AB0" w:rsidRPr="002E5C24" w:rsidRDefault="00181AB0" w:rsidP="00181AB0">
      <w:pPr>
        <w:spacing w:before="120" w:after="120"/>
        <w:ind w:left="1440" w:firstLine="720"/>
        <w:rPr>
          <w:b/>
          <w:smallCaps/>
          <w:sz w:val="28"/>
          <w:szCs w:val="22"/>
        </w:rPr>
      </w:pPr>
      <w:r w:rsidRPr="002E5C24">
        <w:rPr>
          <w:b/>
          <w:smallCaps/>
          <w:sz w:val="28"/>
          <w:szCs w:val="22"/>
        </w:rPr>
        <w:t>NHS NATIONAL SERVICES SCOTLAND</w:t>
      </w:r>
    </w:p>
    <w:p w:rsidR="00181AB0" w:rsidRPr="00181AB0" w:rsidRDefault="00181AB0" w:rsidP="00181AB0">
      <w:pPr>
        <w:pStyle w:val="Heading1"/>
        <w:spacing w:before="120" w:after="120"/>
        <w:ind w:left="2880" w:firstLine="720"/>
        <w:rPr>
          <w:rFonts w:ascii="Arial" w:hAnsi="Arial" w:cs="Arial"/>
          <w:color w:val="auto"/>
          <w:szCs w:val="22"/>
        </w:rPr>
      </w:pPr>
      <w:r w:rsidRPr="00181AB0">
        <w:rPr>
          <w:rFonts w:ascii="Arial" w:hAnsi="Arial" w:cs="Arial"/>
          <w:color w:val="auto"/>
          <w:szCs w:val="22"/>
        </w:rPr>
        <w:t xml:space="preserve">JOB DESCRIPTION </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
        <w:gridCol w:w="3883"/>
        <w:gridCol w:w="6573"/>
        <w:gridCol w:w="142"/>
      </w:tblGrid>
      <w:tr w:rsidR="00181AB0" w:rsidRPr="00197DD5" w:rsidTr="00181AB0">
        <w:tc>
          <w:tcPr>
            <w:tcW w:w="10632" w:type="dxa"/>
            <w:gridSpan w:val="4"/>
            <w:tcBorders>
              <w:top w:val="single" w:sz="4" w:space="0" w:color="auto"/>
              <w:left w:val="single" w:sz="4" w:space="0" w:color="auto"/>
              <w:bottom w:val="nil"/>
              <w:right w:val="single" w:sz="4" w:space="0" w:color="auto"/>
            </w:tcBorders>
          </w:tcPr>
          <w:p w:rsidR="00181AB0" w:rsidRPr="00197DD5" w:rsidRDefault="00181AB0" w:rsidP="009A797B">
            <w:pPr>
              <w:spacing w:before="120" w:after="120"/>
              <w:rPr>
                <w:b/>
                <w:sz w:val="22"/>
                <w:szCs w:val="22"/>
              </w:rPr>
            </w:pPr>
            <w:r w:rsidRPr="00197DD5">
              <w:rPr>
                <w:b/>
                <w:sz w:val="22"/>
                <w:szCs w:val="22"/>
              </w:rPr>
              <w:t>1.     JOB DETAILS</w:t>
            </w:r>
          </w:p>
        </w:tc>
      </w:tr>
      <w:tr w:rsidR="00181AB0" w:rsidRPr="00197DD5" w:rsidTr="00181AB0">
        <w:tc>
          <w:tcPr>
            <w:tcW w:w="3917" w:type="dxa"/>
            <w:gridSpan w:val="2"/>
            <w:tcBorders>
              <w:top w:val="nil"/>
              <w:left w:val="single" w:sz="4" w:space="0" w:color="auto"/>
              <w:bottom w:val="nil"/>
              <w:right w:val="nil"/>
            </w:tcBorders>
          </w:tcPr>
          <w:p w:rsidR="00181AB0" w:rsidRPr="00197DD5" w:rsidRDefault="00181AB0" w:rsidP="009A797B">
            <w:pPr>
              <w:spacing w:before="120" w:after="120"/>
              <w:rPr>
                <w:sz w:val="22"/>
                <w:szCs w:val="22"/>
              </w:rPr>
            </w:pPr>
            <w:r w:rsidRPr="00197DD5">
              <w:rPr>
                <w:sz w:val="22"/>
                <w:szCs w:val="22"/>
              </w:rPr>
              <w:t>Job Title</w:t>
            </w:r>
          </w:p>
        </w:tc>
        <w:tc>
          <w:tcPr>
            <w:tcW w:w="6715" w:type="dxa"/>
            <w:gridSpan w:val="2"/>
            <w:tcBorders>
              <w:top w:val="nil"/>
              <w:left w:val="nil"/>
              <w:bottom w:val="nil"/>
              <w:right w:val="single" w:sz="4" w:space="0" w:color="auto"/>
            </w:tcBorders>
          </w:tcPr>
          <w:p w:rsidR="00181AB0" w:rsidRPr="005B2D6E" w:rsidRDefault="00181AB0" w:rsidP="009A797B">
            <w:pPr>
              <w:spacing w:before="120" w:after="120"/>
              <w:rPr>
                <w:b/>
                <w:sz w:val="22"/>
                <w:szCs w:val="22"/>
              </w:rPr>
            </w:pPr>
            <w:r w:rsidRPr="005B2D6E">
              <w:rPr>
                <w:b/>
                <w:sz w:val="22"/>
                <w:szCs w:val="22"/>
              </w:rPr>
              <w:t>Head of Service</w:t>
            </w:r>
          </w:p>
        </w:tc>
      </w:tr>
      <w:tr w:rsidR="00181AB0" w:rsidRPr="00197DD5" w:rsidTr="00181AB0">
        <w:tc>
          <w:tcPr>
            <w:tcW w:w="3917" w:type="dxa"/>
            <w:gridSpan w:val="2"/>
            <w:tcBorders>
              <w:top w:val="nil"/>
              <w:left w:val="single" w:sz="4" w:space="0" w:color="auto"/>
              <w:bottom w:val="nil"/>
              <w:right w:val="nil"/>
            </w:tcBorders>
          </w:tcPr>
          <w:p w:rsidR="00181AB0" w:rsidRPr="00197DD5" w:rsidRDefault="00181AB0" w:rsidP="009A797B">
            <w:pPr>
              <w:spacing w:before="120" w:after="120"/>
              <w:rPr>
                <w:sz w:val="22"/>
                <w:szCs w:val="22"/>
              </w:rPr>
            </w:pPr>
            <w:r w:rsidRPr="00197DD5">
              <w:rPr>
                <w:sz w:val="22"/>
                <w:szCs w:val="22"/>
              </w:rPr>
              <w:t>Immediate Senior Officer</w:t>
            </w:r>
            <w:r>
              <w:rPr>
                <w:sz w:val="22"/>
                <w:szCs w:val="22"/>
              </w:rPr>
              <w:t>/ Line Manager</w:t>
            </w:r>
          </w:p>
        </w:tc>
        <w:tc>
          <w:tcPr>
            <w:tcW w:w="6715" w:type="dxa"/>
            <w:gridSpan w:val="2"/>
            <w:tcBorders>
              <w:top w:val="nil"/>
              <w:left w:val="nil"/>
              <w:bottom w:val="nil"/>
              <w:right w:val="single" w:sz="4" w:space="0" w:color="auto"/>
            </w:tcBorders>
          </w:tcPr>
          <w:p w:rsidR="00181AB0" w:rsidRPr="00181AB0" w:rsidRDefault="00181AB0" w:rsidP="009A797B">
            <w:pPr>
              <w:pStyle w:val="Heading3"/>
              <w:spacing w:before="120" w:after="120"/>
              <w:rPr>
                <w:b w:val="0"/>
                <w:i w:val="0"/>
                <w:szCs w:val="22"/>
              </w:rPr>
            </w:pPr>
            <w:r w:rsidRPr="00181AB0">
              <w:rPr>
                <w:b w:val="0"/>
                <w:i w:val="0"/>
                <w:sz w:val="22"/>
                <w:szCs w:val="22"/>
              </w:rPr>
              <w:t>Director IT Operations</w:t>
            </w:r>
          </w:p>
        </w:tc>
      </w:tr>
      <w:tr w:rsidR="00181AB0" w:rsidRPr="00197DD5" w:rsidTr="00181AB0">
        <w:tc>
          <w:tcPr>
            <w:tcW w:w="3917" w:type="dxa"/>
            <w:gridSpan w:val="2"/>
            <w:tcBorders>
              <w:top w:val="nil"/>
              <w:left w:val="single" w:sz="4" w:space="0" w:color="auto"/>
              <w:bottom w:val="nil"/>
              <w:right w:val="nil"/>
            </w:tcBorders>
          </w:tcPr>
          <w:p w:rsidR="00181AB0" w:rsidRPr="00197DD5" w:rsidRDefault="00181AB0" w:rsidP="009A797B">
            <w:pPr>
              <w:spacing w:before="120" w:after="120"/>
              <w:rPr>
                <w:sz w:val="22"/>
                <w:szCs w:val="22"/>
              </w:rPr>
            </w:pPr>
            <w:r>
              <w:rPr>
                <w:sz w:val="22"/>
                <w:szCs w:val="22"/>
              </w:rPr>
              <w:t>Department</w:t>
            </w:r>
          </w:p>
        </w:tc>
        <w:tc>
          <w:tcPr>
            <w:tcW w:w="6715" w:type="dxa"/>
            <w:gridSpan w:val="2"/>
            <w:tcBorders>
              <w:top w:val="nil"/>
              <w:left w:val="nil"/>
              <w:bottom w:val="nil"/>
              <w:right w:val="single" w:sz="4" w:space="0" w:color="auto"/>
            </w:tcBorders>
          </w:tcPr>
          <w:p w:rsidR="00181AB0" w:rsidRPr="005B2D6E" w:rsidRDefault="00181AB0" w:rsidP="009A797B">
            <w:pPr>
              <w:spacing w:before="120" w:after="120"/>
              <w:rPr>
                <w:sz w:val="22"/>
                <w:szCs w:val="22"/>
              </w:rPr>
            </w:pPr>
            <w:r w:rsidRPr="005B2D6E">
              <w:rPr>
                <w:sz w:val="22"/>
                <w:szCs w:val="22"/>
              </w:rPr>
              <w:t>Architecture and Solutions</w:t>
            </w:r>
          </w:p>
        </w:tc>
      </w:tr>
      <w:tr w:rsidR="00181AB0" w:rsidRPr="00197DD5" w:rsidTr="00181AB0">
        <w:tc>
          <w:tcPr>
            <w:tcW w:w="3917" w:type="dxa"/>
            <w:gridSpan w:val="2"/>
            <w:tcBorders>
              <w:top w:val="nil"/>
              <w:left w:val="single" w:sz="4" w:space="0" w:color="auto"/>
              <w:bottom w:val="nil"/>
              <w:right w:val="nil"/>
            </w:tcBorders>
          </w:tcPr>
          <w:p w:rsidR="00181AB0" w:rsidRDefault="00181AB0" w:rsidP="009A797B">
            <w:pPr>
              <w:spacing w:before="120" w:after="120"/>
              <w:rPr>
                <w:sz w:val="22"/>
                <w:szCs w:val="22"/>
              </w:rPr>
            </w:pPr>
            <w:r>
              <w:rPr>
                <w:sz w:val="22"/>
                <w:szCs w:val="22"/>
              </w:rPr>
              <w:t>SBU</w:t>
            </w:r>
          </w:p>
        </w:tc>
        <w:tc>
          <w:tcPr>
            <w:tcW w:w="6715" w:type="dxa"/>
            <w:gridSpan w:val="2"/>
            <w:tcBorders>
              <w:top w:val="nil"/>
              <w:left w:val="nil"/>
              <w:bottom w:val="nil"/>
              <w:right w:val="single" w:sz="4" w:space="0" w:color="auto"/>
            </w:tcBorders>
          </w:tcPr>
          <w:p w:rsidR="00181AB0" w:rsidRPr="005B2D6E" w:rsidRDefault="00181AB0" w:rsidP="009A797B">
            <w:pPr>
              <w:spacing w:before="120" w:after="120"/>
              <w:rPr>
                <w:sz w:val="22"/>
                <w:szCs w:val="22"/>
              </w:rPr>
            </w:pPr>
            <w:r w:rsidRPr="005B2D6E">
              <w:rPr>
                <w:sz w:val="22"/>
                <w:szCs w:val="22"/>
              </w:rPr>
              <w:t>IT</w:t>
            </w:r>
            <w:bookmarkStart w:id="0" w:name="_GoBack"/>
            <w:bookmarkEnd w:id="0"/>
          </w:p>
        </w:tc>
      </w:tr>
      <w:tr w:rsidR="00181AB0" w:rsidRPr="00197DD5" w:rsidTr="00181AB0">
        <w:tc>
          <w:tcPr>
            <w:tcW w:w="3917" w:type="dxa"/>
            <w:gridSpan w:val="2"/>
            <w:tcBorders>
              <w:top w:val="nil"/>
              <w:left w:val="single" w:sz="4" w:space="0" w:color="auto"/>
              <w:bottom w:val="nil"/>
              <w:right w:val="nil"/>
            </w:tcBorders>
          </w:tcPr>
          <w:p w:rsidR="00181AB0" w:rsidRPr="00197DD5" w:rsidRDefault="00181AB0" w:rsidP="009A797B">
            <w:pPr>
              <w:spacing w:before="120" w:after="120"/>
              <w:rPr>
                <w:sz w:val="22"/>
                <w:szCs w:val="22"/>
              </w:rPr>
            </w:pPr>
            <w:r w:rsidRPr="00197DD5">
              <w:rPr>
                <w:sz w:val="22"/>
                <w:szCs w:val="22"/>
              </w:rPr>
              <w:t>Location</w:t>
            </w:r>
          </w:p>
        </w:tc>
        <w:tc>
          <w:tcPr>
            <w:tcW w:w="6715" w:type="dxa"/>
            <w:gridSpan w:val="2"/>
            <w:tcBorders>
              <w:top w:val="nil"/>
              <w:left w:val="nil"/>
              <w:bottom w:val="nil"/>
              <w:right w:val="single" w:sz="4" w:space="0" w:color="auto"/>
            </w:tcBorders>
          </w:tcPr>
          <w:p w:rsidR="00181AB0" w:rsidRPr="00197DD5" w:rsidRDefault="00181AB0" w:rsidP="009A797B">
            <w:pPr>
              <w:spacing w:before="120" w:after="120"/>
              <w:rPr>
                <w:sz w:val="22"/>
                <w:szCs w:val="22"/>
              </w:rPr>
            </w:pPr>
          </w:p>
        </w:tc>
      </w:tr>
      <w:tr w:rsidR="00181AB0" w:rsidRPr="00197DD5" w:rsidTr="00181AB0">
        <w:tc>
          <w:tcPr>
            <w:tcW w:w="3917" w:type="dxa"/>
            <w:gridSpan w:val="2"/>
            <w:tcBorders>
              <w:top w:val="nil"/>
              <w:left w:val="single" w:sz="4" w:space="0" w:color="auto"/>
              <w:bottom w:val="single" w:sz="4" w:space="0" w:color="auto"/>
              <w:right w:val="nil"/>
            </w:tcBorders>
          </w:tcPr>
          <w:p w:rsidR="00181AB0" w:rsidRPr="00197DD5" w:rsidRDefault="00181AB0" w:rsidP="009A797B">
            <w:pPr>
              <w:spacing w:before="120" w:after="120"/>
              <w:rPr>
                <w:sz w:val="22"/>
                <w:szCs w:val="22"/>
              </w:rPr>
            </w:pPr>
            <w:r>
              <w:rPr>
                <w:sz w:val="22"/>
                <w:szCs w:val="22"/>
              </w:rPr>
              <w:t>CAJE Reference</w:t>
            </w:r>
          </w:p>
        </w:tc>
        <w:tc>
          <w:tcPr>
            <w:tcW w:w="6715" w:type="dxa"/>
            <w:gridSpan w:val="2"/>
            <w:tcBorders>
              <w:top w:val="nil"/>
              <w:left w:val="nil"/>
              <w:bottom w:val="single" w:sz="4" w:space="0" w:color="auto"/>
              <w:right w:val="single" w:sz="4" w:space="0" w:color="auto"/>
            </w:tcBorders>
          </w:tcPr>
          <w:p w:rsidR="00181AB0" w:rsidRPr="00197DD5" w:rsidRDefault="00181AB0" w:rsidP="009A797B">
            <w:pPr>
              <w:pStyle w:val="Header"/>
              <w:tabs>
                <w:tab w:val="clear" w:pos="4153"/>
                <w:tab w:val="clear" w:pos="8306"/>
              </w:tabs>
              <w:spacing w:before="120" w:after="120"/>
              <w:rPr>
                <w:sz w:val="22"/>
                <w:szCs w:val="22"/>
              </w:rPr>
            </w:pPr>
            <w:r>
              <w:rPr>
                <w:sz w:val="22"/>
                <w:szCs w:val="22"/>
              </w:rPr>
              <w:t>ITS001</w:t>
            </w:r>
          </w:p>
        </w:tc>
      </w:tr>
      <w:tr w:rsidR="00181AB0" w:rsidRPr="00197DD5" w:rsidTr="00181AB0">
        <w:tc>
          <w:tcPr>
            <w:tcW w:w="10632" w:type="dxa"/>
            <w:gridSpan w:val="4"/>
            <w:tcBorders>
              <w:top w:val="single" w:sz="4" w:space="0" w:color="auto"/>
              <w:left w:val="nil"/>
              <w:bottom w:val="single" w:sz="4" w:space="0" w:color="auto"/>
              <w:right w:val="nil"/>
            </w:tcBorders>
          </w:tcPr>
          <w:p w:rsidR="00181AB0" w:rsidRPr="00197DD5" w:rsidRDefault="00181AB0" w:rsidP="009A797B">
            <w:pPr>
              <w:spacing w:before="120" w:after="120"/>
              <w:rPr>
                <w:sz w:val="22"/>
                <w:szCs w:val="22"/>
              </w:rPr>
            </w:pPr>
          </w:p>
        </w:tc>
      </w:tr>
      <w:tr w:rsidR="000B206D" w:rsidRPr="000B128B" w:rsidTr="00181AB0">
        <w:trPr>
          <w:gridBefore w:val="1"/>
          <w:gridAfter w:val="1"/>
          <w:wBefore w:w="34" w:type="dxa"/>
          <w:wAfter w:w="142" w:type="dxa"/>
          <w:trHeight w:val="454"/>
        </w:trPr>
        <w:tc>
          <w:tcPr>
            <w:tcW w:w="10456" w:type="dxa"/>
            <w:gridSpan w:val="2"/>
            <w:tcBorders>
              <w:top w:val="single" w:sz="6" w:space="0" w:color="auto"/>
              <w:left w:val="single" w:sz="6" w:space="0" w:color="auto"/>
              <w:right w:val="single" w:sz="6" w:space="0" w:color="auto"/>
            </w:tcBorders>
          </w:tcPr>
          <w:p w:rsidR="000B206D" w:rsidRPr="000B128B" w:rsidRDefault="000B206D" w:rsidP="000B206D">
            <w:pPr>
              <w:spacing w:before="120"/>
              <w:rPr>
                <w:b/>
                <w:sz w:val="22"/>
                <w:szCs w:val="22"/>
              </w:rPr>
            </w:pPr>
            <w:r w:rsidRPr="000B128B">
              <w:rPr>
                <w:b/>
                <w:sz w:val="22"/>
                <w:szCs w:val="22"/>
              </w:rPr>
              <w:t>2.   JOB PURPOSE</w:t>
            </w:r>
          </w:p>
        </w:tc>
      </w:tr>
      <w:tr w:rsidR="000B206D" w:rsidRPr="000B128B" w:rsidTr="00181AB0">
        <w:trPr>
          <w:gridBefore w:val="1"/>
          <w:gridAfter w:val="1"/>
          <w:wBefore w:w="34" w:type="dxa"/>
          <w:wAfter w:w="142" w:type="dxa"/>
        </w:trPr>
        <w:tc>
          <w:tcPr>
            <w:tcW w:w="10456" w:type="dxa"/>
            <w:gridSpan w:val="2"/>
            <w:tcBorders>
              <w:left w:val="single" w:sz="6" w:space="0" w:color="auto"/>
              <w:bottom w:val="single" w:sz="6" w:space="0" w:color="auto"/>
              <w:right w:val="single" w:sz="6" w:space="0" w:color="auto"/>
            </w:tcBorders>
          </w:tcPr>
          <w:p w:rsidR="000B206D" w:rsidRDefault="000B206D" w:rsidP="00181AB0">
            <w:pPr>
              <w:pStyle w:val="BodyText3"/>
              <w:rPr>
                <w:i w:val="0"/>
                <w:sz w:val="22"/>
                <w:szCs w:val="22"/>
              </w:rPr>
            </w:pPr>
            <w:r w:rsidRPr="00B40860">
              <w:rPr>
                <w:i w:val="0"/>
                <w:sz w:val="22"/>
                <w:szCs w:val="22"/>
              </w:rPr>
              <w:t xml:space="preserve">As a member of </w:t>
            </w:r>
            <w:r>
              <w:rPr>
                <w:i w:val="0"/>
                <w:sz w:val="22"/>
                <w:szCs w:val="22"/>
              </w:rPr>
              <w:t>the SBU’s senior team</w:t>
            </w:r>
            <w:r w:rsidRPr="00B40860">
              <w:rPr>
                <w:i w:val="0"/>
                <w:sz w:val="22"/>
                <w:szCs w:val="22"/>
              </w:rPr>
              <w:t xml:space="preserve">, play </w:t>
            </w:r>
            <w:r>
              <w:rPr>
                <w:i w:val="0"/>
                <w:sz w:val="22"/>
                <w:szCs w:val="22"/>
              </w:rPr>
              <w:t xml:space="preserve">a </w:t>
            </w:r>
            <w:r w:rsidRPr="00B40860">
              <w:rPr>
                <w:i w:val="0"/>
                <w:sz w:val="22"/>
                <w:szCs w:val="22"/>
              </w:rPr>
              <w:t xml:space="preserve">key role in developing and implementing the strategic direction and policy of </w:t>
            </w:r>
            <w:r>
              <w:rPr>
                <w:i w:val="0"/>
                <w:sz w:val="22"/>
                <w:szCs w:val="22"/>
              </w:rPr>
              <w:t>IT SBU.  Ensure</w:t>
            </w:r>
            <w:r w:rsidRPr="00B40860">
              <w:rPr>
                <w:i w:val="0"/>
                <w:sz w:val="22"/>
                <w:szCs w:val="22"/>
              </w:rPr>
              <w:t xml:space="preserve"> close and effective working relationships </w:t>
            </w:r>
            <w:r>
              <w:rPr>
                <w:i w:val="0"/>
                <w:sz w:val="22"/>
                <w:szCs w:val="22"/>
              </w:rPr>
              <w:t xml:space="preserve">with </w:t>
            </w:r>
            <w:r w:rsidRPr="00B40860">
              <w:rPr>
                <w:i w:val="0"/>
                <w:sz w:val="22"/>
                <w:szCs w:val="22"/>
              </w:rPr>
              <w:t xml:space="preserve">leaders in </w:t>
            </w:r>
            <w:r w:rsidRPr="00A86300">
              <w:rPr>
                <w:i w:val="0"/>
                <w:sz w:val="22"/>
                <w:szCs w:val="22"/>
              </w:rPr>
              <w:t>NSS,</w:t>
            </w:r>
            <w:r>
              <w:rPr>
                <w:i w:val="0"/>
                <w:sz w:val="22"/>
                <w:szCs w:val="22"/>
              </w:rPr>
              <w:t xml:space="preserve"> </w:t>
            </w:r>
            <w:r w:rsidRPr="00B40860">
              <w:rPr>
                <w:i w:val="0"/>
                <w:sz w:val="22"/>
                <w:szCs w:val="22"/>
              </w:rPr>
              <w:t>NHS Scotland, Scottish Government and partner organisations</w:t>
            </w:r>
            <w:r>
              <w:rPr>
                <w:i w:val="0"/>
                <w:sz w:val="22"/>
                <w:szCs w:val="22"/>
              </w:rPr>
              <w:t xml:space="preserve">.  Ensure </w:t>
            </w:r>
            <w:r w:rsidRPr="00B40860">
              <w:rPr>
                <w:i w:val="0"/>
                <w:sz w:val="22"/>
                <w:szCs w:val="22"/>
              </w:rPr>
              <w:t xml:space="preserve">that </w:t>
            </w:r>
            <w:r>
              <w:rPr>
                <w:i w:val="0"/>
                <w:sz w:val="22"/>
                <w:szCs w:val="22"/>
              </w:rPr>
              <w:t>IT SBU</w:t>
            </w:r>
            <w:r w:rsidRPr="00B40860">
              <w:rPr>
                <w:i w:val="0"/>
                <w:sz w:val="22"/>
                <w:szCs w:val="22"/>
              </w:rPr>
              <w:t xml:space="preserve"> delivers effective services in line with NHS priorities.  </w:t>
            </w:r>
          </w:p>
          <w:p w:rsidR="000B206D" w:rsidRPr="00B40860" w:rsidRDefault="000B206D" w:rsidP="00181AB0">
            <w:pPr>
              <w:rPr>
                <w:sz w:val="22"/>
                <w:szCs w:val="22"/>
              </w:rPr>
            </w:pPr>
          </w:p>
          <w:p w:rsidR="000B206D" w:rsidRPr="00B40860" w:rsidRDefault="000B206D" w:rsidP="00181AB0">
            <w:pPr>
              <w:rPr>
                <w:sz w:val="22"/>
                <w:szCs w:val="22"/>
              </w:rPr>
            </w:pPr>
            <w:r>
              <w:rPr>
                <w:sz w:val="22"/>
                <w:szCs w:val="22"/>
              </w:rPr>
              <w:t>Provide</w:t>
            </w:r>
            <w:r w:rsidRPr="00B40860">
              <w:rPr>
                <w:sz w:val="22"/>
                <w:szCs w:val="22"/>
              </w:rPr>
              <w:t xml:space="preserve"> leadership and expertise to one of </w:t>
            </w:r>
            <w:r>
              <w:rPr>
                <w:sz w:val="22"/>
                <w:szCs w:val="22"/>
              </w:rPr>
              <w:t xml:space="preserve">IT SBU </w:t>
            </w:r>
            <w:r w:rsidRPr="00B40860">
              <w:rPr>
                <w:sz w:val="22"/>
                <w:szCs w:val="22"/>
              </w:rPr>
              <w:t>’s major service areas, combining strategic focus whilst determining and leading the delivery of the intermediate objectives.</w:t>
            </w:r>
          </w:p>
          <w:p w:rsidR="000B206D" w:rsidRDefault="000B206D" w:rsidP="00181AB0">
            <w:pPr>
              <w:pStyle w:val="BodyText3"/>
            </w:pPr>
          </w:p>
          <w:p w:rsidR="000B206D" w:rsidRPr="00B40860" w:rsidRDefault="000B206D" w:rsidP="00181AB0">
            <w:pPr>
              <w:pStyle w:val="BodyText3"/>
              <w:rPr>
                <w:i w:val="0"/>
                <w:sz w:val="22"/>
                <w:szCs w:val="22"/>
              </w:rPr>
            </w:pPr>
            <w:r w:rsidRPr="00B40860">
              <w:rPr>
                <w:i w:val="0"/>
                <w:sz w:val="22"/>
                <w:szCs w:val="22"/>
              </w:rPr>
              <w:t xml:space="preserve">Direct and control the resources (budget and staffing) of the Service area in order to develop and deliver high quality and innovative information </w:t>
            </w:r>
            <w:r>
              <w:rPr>
                <w:i w:val="0"/>
                <w:sz w:val="22"/>
                <w:szCs w:val="22"/>
              </w:rPr>
              <w:t xml:space="preserve">technology </w:t>
            </w:r>
            <w:r w:rsidRPr="00B40860">
              <w:rPr>
                <w:i w:val="0"/>
                <w:sz w:val="22"/>
                <w:szCs w:val="22"/>
              </w:rPr>
              <w:t xml:space="preserve">services and </w:t>
            </w:r>
            <w:r>
              <w:rPr>
                <w:i w:val="0"/>
                <w:sz w:val="22"/>
                <w:szCs w:val="22"/>
              </w:rPr>
              <w:t xml:space="preserve">maintain </w:t>
            </w:r>
            <w:r w:rsidRPr="00B40860">
              <w:rPr>
                <w:i w:val="0"/>
                <w:sz w:val="22"/>
                <w:szCs w:val="22"/>
              </w:rPr>
              <w:t xml:space="preserve">an appropriately skilled and motivated workforce.  </w:t>
            </w:r>
          </w:p>
          <w:p w:rsidR="000B206D" w:rsidRPr="00B40860" w:rsidRDefault="000B206D" w:rsidP="00181AB0">
            <w:pPr>
              <w:pStyle w:val="BodyText3"/>
              <w:rPr>
                <w:i w:val="0"/>
                <w:sz w:val="22"/>
                <w:szCs w:val="22"/>
              </w:rPr>
            </w:pPr>
          </w:p>
          <w:p w:rsidR="000B206D" w:rsidRPr="00B40860" w:rsidRDefault="000B206D" w:rsidP="00181AB0">
            <w:pPr>
              <w:pStyle w:val="BodyText3"/>
              <w:rPr>
                <w:i w:val="0"/>
                <w:sz w:val="22"/>
                <w:szCs w:val="22"/>
              </w:rPr>
            </w:pPr>
            <w:r w:rsidRPr="00B40860">
              <w:rPr>
                <w:i w:val="0"/>
                <w:sz w:val="22"/>
                <w:szCs w:val="22"/>
              </w:rPr>
              <w:t>Provide expert professional advice to stakeholders, customers and staff i</w:t>
            </w:r>
            <w:r>
              <w:rPr>
                <w:i w:val="0"/>
                <w:sz w:val="22"/>
                <w:szCs w:val="22"/>
              </w:rPr>
              <w:t xml:space="preserve">n order to optimise strategy and plans for best value IM&amp;T services for NHS Scotland. Customers and stakeholders can be of very senior level </w:t>
            </w:r>
            <w:r w:rsidRPr="00A86300">
              <w:rPr>
                <w:i w:val="0"/>
                <w:sz w:val="22"/>
                <w:szCs w:val="22"/>
              </w:rPr>
              <w:t>within NSS, NHS</w:t>
            </w:r>
            <w:r>
              <w:rPr>
                <w:i w:val="0"/>
                <w:sz w:val="22"/>
                <w:szCs w:val="22"/>
              </w:rPr>
              <w:t xml:space="preserve"> Scotland, Scottish Government Health / Social Care department and broader Scottish public sector bodies.</w:t>
            </w:r>
          </w:p>
        </w:tc>
      </w:tr>
    </w:tbl>
    <w:p w:rsidR="000B206D" w:rsidRDefault="000B206D" w:rsidP="000B206D">
      <w:pPr>
        <w:pStyle w:val="Header"/>
        <w:tabs>
          <w:tab w:val="clear" w:pos="4153"/>
          <w:tab w:val="clear" w:pos="8306"/>
        </w:tabs>
      </w:pPr>
    </w:p>
    <w:tbl>
      <w:tblPr>
        <w:tblW w:w="1056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65"/>
        <w:gridCol w:w="5302"/>
      </w:tblGrid>
      <w:tr w:rsidR="000B206D" w:rsidRPr="000B128B">
        <w:trPr>
          <w:trHeight w:val="567"/>
        </w:trPr>
        <w:tc>
          <w:tcPr>
            <w:tcW w:w="5265" w:type="dxa"/>
            <w:tcBorders>
              <w:top w:val="single" w:sz="6" w:space="0" w:color="auto"/>
              <w:left w:val="single" w:sz="6" w:space="0" w:color="auto"/>
            </w:tcBorders>
          </w:tcPr>
          <w:p w:rsidR="000B206D" w:rsidRPr="000B128B" w:rsidRDefault="000B206D" w:rsidP="000B206D">
            <w:pPr>
              <w:spacing w:before="120"/>
              <w:rPr>
                <w:b/>
                <w:sz w:val="22"/>
                <w:szCs w:val="22"/>
              </w:rPr>
            </w:pPr>
            <w:r w:rsidRPr="000B128B">
              <w:rPr>
                <w:b/>
                <w:sz w:val="22"/>
                <w:szCs w:val="22"/>
              </w:rPr>
              <w:t>3.   DIMENSIONS</w:t>
            </w:r>
          </w:p>
        </w:tc>
        <w:tc>
          <w:tcPr>
            <w:tcW w:w="5302" w:type="dxa"/>
            <w:tcBorders>
              <w:top w:val="single" w:sz="6" w:space="0" w:color="auto"/>
              <w:right w:val="single" w:sz="6" w:space="0" w:color="auto"/>
            </w:tcBorders>
          </w:tcPr>
          <w:p w:rsidR="000B206D" w:rsidRPr="000B128B" w:rsidRDefault="000B206D" w:rsidP="000B206D">
            <w:pPr>
              <w:spacing w:before="120"/>
              <w:rPr>
                <w:b/>
                <w:sz w:val="22"/>
                <w:szCs w:val="22"/>
              </w:rPr>
            </w:pPr>
          </w:p>
        </w:tc>
      </w:tr>
      <w:tr w:rsidR="000B206D" w:rsidRPr="000B128B">
        <w:trPr>
          <w:trHeight w:val="459"/>
        </w:trPr>
        <w:tc>
          <w:tcPr>
            <w:tcW w:w="10567" w:type="dxa"/>
            <w:gridSpan w:val="2"/>
            <w:tcBorders>
              <w:left w:val="single" w:sz="6" w:space="0" w:color="auto"/>
              <w:bottom w:val="single" w:sz="6" w:space="0" w:color="auto"/>
              <w:right w:val="single" w:sz="6" w:space="0" w:color="auto"/>
            </w:tcBorders>
          </w:tcPr>
          <w:p w:rsidR="000B206D" w:rsidRPr="005A57F8" w:rsidRDefault="000B206D" w:rsidP="00181AB0">
            <w:pPr>
              <w:rPr>
                <w:bCs/>
                <w:iCs/>
                <w:sz w:val="22"/>
                <w:szCs w:val="22"/>
              </w:rPr>
            </w:pPr>
            <w:r w:rsidRPr="005A57F8">
              <w:rPr>
                <w:bCs/>
                <w:iCs/>
                <w:sz w:val="22"/>
                <w:szCs w:val="22"/>
              </w:rPr>
              <w:t xml:space="preserve">The post holder will lead the IT SBU Architecture and Solutions service area, comprising up to 100 or more staff split over multiple (initially 9) multidisciplinary teams. </w:t>
            </w:r>
          </w:p>
          <w:p w:rsidR="000B206D" w:rsidRPr="005A57F8" w:rsidRDefault="000B206D" w:rsidP="00181AB0">
            <w:pPr>
              <w:pStyle w:val="BodyText3"/>
              <w:rPr>
                <w:i w:val="0"/>
                <w:sz w:val="22"/>
                <w:szCs w:val="22"/>
              </w:rPr>
            </w:pPr>
          </w:p>
          <w:p w:rsidR="000B206D" w:rsidRPr="005A57F8" w:rsidRDefault="000B206D" w:rsidP="00181AB0">
            <w:pPr>
              <w:pStyle w:val="BodyText3"/>
              <w:rPr>
                <w:i w:val="0"/>
                <w:sz w:val="22"/>
                <w:szCs w:val="22"/>
              </w:rPr>
            </w:pPr>
            <w:r w:rsidRPr="005A57F8">
              <w:rPr>
                <w:i w:val="0"/>
                <w:sz w:val="22"/>
                <w:szCs w:val="22"/>
              </w:rPr>
              <w:t xml:space="preserve">The post holder has prime responsibility for a revenue budget in excess of £4m in year and key role in defining and directing NSS IM&amp;T expenditure with an estimated value of £25m per annum. </w:t>
            </w:r>
          </w:p>
          <w:p w:rsidR="000B206D" w:rsidRPr="005A57F8" w:rsidRDefault="000B206D" w:rsidP="00181AB0">
            <w:pPr>
              <w:pStyle w:val="BodyText3"/>
              <w:rPr>
                <w:i w:val="0"/>
                <w:sz w:val="22"/>
                <w:szCs w:val="22"/>
              </w:rPr>
            </w:pPr>
          </w:p>
          <w:p w:rsidR="000B206D" w:rsidRPr="005A57F8" w:rsidRDefault="000B206D" w:rsidP="00181AB0">
            <w:pPr>
              <w:pStyle w:val="BodyText3"/>
              <w:rPr>
                <w:i w:val="0"/>
                <w:sz w:val="22"/>
                <w:szCs w:val="22"/>
              </w:rPr>
            </w:pPr>
            <w:r w:rsidRPr="005A57F8">
              <w:rPr>
                <w:i w:val="0"/>
                <w:sz w:val="22"/>
                <w:szCs w:val="22"/>
              </w:rPr>
              <w:t>Has the lead role in optimising NSS and NHSScotland expenditure on IM&amp;T to ensure maximum Health Impact and Finance Impact, by developing and applying effective and efficient; policy, standards, processes and business functions.</w:t>
            </w:r>
          </w:p>
          <w:p w:rsidR="000B206D" w:rsidRPr="005A57F8" w:rsidRDefault="000B206D" w:rsidP="00181AB0">
            <w:pPr>
              <w:pStyle w:val="BodyText3"/>
              <w:rPr>
                <w:i w:val="0"/>
                <w:sz w:val="22"/>
                <w:szCs w:val="22"/>
              </w:rPr>
            </w:pPr>
          </w:p>
          <w:p w:rsidR="000B206D" w:rsidRPr="005A57F8" w:rsidRDefault="000B206D" w:rsidP="00181AB0">
            <w:pPr>
              <w:pStyle w:val="BodyText3"/>
              <w:rPr>
                <w:i w:val="0"/>
                <w:sz w:val="22"/>
                <w:szCs w:val="22"/>
              </w:rPr>
            </w:pPr>
            <w:r w:rsidRPr="005A57F8">
              <w:rPr>
                <w:i w:val="0"/>
                <w:sz w:val="22"/>
                <w:szCs w:val="22"/>
              </w:rPr>
              <w:lastRenderedPageBreak/>
              <w:t xml:space="preserve">Responsible for all aspects of the design, development, operation and management of several National level software applications. </w:t>
            </w:r>
          </w:p>
          <w:p w:rsidR="000B206D" w:rsidRPr="005A57F8" w:rsidRDefault="000B206D" w:rsidP="00181AB0">
            <w:pPr>
              <w:pStyle w:val="BodyText3"/>
              <w:rPr>
                <w:i w:val="0"/>
                <w:sz w:val="22"/>
                <w:szCs w:val="22"/>
              </w:rPr>
            </w:pPr>
          </w:p>
          <w:p w:rsidR="000B206D" w:rsidRPr="005A57F8" w:rsidRDefault="000B206D" w:rsidP="00181AB0">
            <w:pPr>
              <w:pStyle w:val="BodyText3"/>
              <w:rPr>
                <w:i w:val="0"/>
                <w:sz w:val="22"/>
                <w:szCs w:val="22"/>
              </w:rPr>
            </w:pPr>
            <w:r w:rsidRPr="005A57F8">
              <w:rPr>
                <w:i w:val="0"/>
                <w:sz w:val="22"/>
                <w:szCs w:val="22"/>
              </w:rPr>
              <w:t xml:space="preserve">Staffing may include senior managers, IM&amp;T consultants, programme / project managers, Senior Service and Service Managers, Business  Analysts, IM&amp;T Architects, Information Governance experts, IT Developers, Testers, Medical/other professional staff, and Business Support Specialists/staff. </w:t>
            </w:r>
          </w:p>
          <w:p w:rsidR="000B206D" w:rsidRPr="005A57F8" w:rsidRDefault="000B206D" w:rsidP="00181AB0">
            <w:pPr>
              <w:pStyle w:val="BodyText3"/>
              <w:rPr>
                <w:i w:val="0"/>
                <w:sz w:val="22"/>
                <w:szCs w:val="22"/>
              </w:rPr>
            </w:pPr>
          </w:p>
          <w:p w:rsidR="000B206D" w:rsidRPr="005A57F8" w:rsidRDefault="000B206D" w:rsidP="00181AB0">
            <w:pPr>
              <w:pStyle w:val="BodyText2"/>
              <w:jc w:val="left"/>
              <w:rPr>
                <w:bCs/>
                <w:iCs/>
                <w:sz w:val="22"/>
                <w:szCs w:val="22"/>
              </w:rPr>
            </w:pPr>
            <w:r w:rsidRPr="005A57F8">
              <w:rPr>
                <w:bCs/>
                <w:iCs/>
                <w:sz w:val="22"/>
                <w:szCs w:val="22"/>
              </w:rPr>
              <w:t>Customers include: NSS, Scottish Government (SG), NHS Boards (and other NHS Organisations), Local Authorities (including Council, Fire, Ambulance, Education and Police); other partner organisations, the public, commercial organisations and research bodies.</w:t>
            </w:r>
            <w:r>
              <w:rPr>
                <w:bCs/>
                <w:iCs/>
                <w:sz w:val="22"/>
                <w:szCs w:val="22"/>
              </w:rPr>
              <w:t xml:space="preserve"> Also includes counterparts in other </w:t>
            </w:r>
            <w:smartTag w:uri="urn:schemas-microsoft-com:office:smarttags" w:element="country-region">
              <w:smartTag w:uri="urn:schemas-microsoft-com:office:smarttags" w:element="place">
                <w:r>
                  <w:rPr>
                    <w:bCs/>
                    <w:iCs/>
                    <w:sz w:val="22"/>
                    <w:szCs w:val="22"/>
                  </w:rPr>
                  <w:t>UK</w:t>
                </w:r>
              </w:smartTag>
            </w:smartTag>
            <w:r>
              <w:rPr>
                <w:bCs/>
                <w:iCs/>
                <w:sz w:val="22"/>
                <w:szCs w:val="22"/>
              </w:rPr>
              <w:t xml:space="preserve"> country national eHealth delivery organisations.</w:t>
            </w:r>
          </w:p>
          <w:p w:rsidR="000B206D" w:rsidRPr="005A57F8" w:rsidRDefault="000B206D" w:rsidP="00181AB0">
            <w:pPr>
              <w:pStyle w:val="BodyText2"/>
              <w:jc w:val="left"/>
              <w:rPr>
                <w:bCs/>
                <w:iCs/>
                <w:sz w:val="22"/>
                <w:szCs w:val="22"/>
              </w:rPr>
            </w:pPr>
          </w:p>
          <w:p w:rsidR="000B206D" w:rsidRPr="001C7A69" w:rsidRDefault="000B206D" w:rsidP="00181AB0">
            <w:pPr>
              <w:rPr>
                <w:rFonts w:cs="Times New Roman"/>
                <w:color w:val="FF0000"/>
                <w:sz w:val="22"/>
                <w:szCs w:val="22"/>
              </w:rPr>
            </w:pPr>
            <w:r w:rsidRPr="005A57F8">
              <w:rPr>
                <w:bCs/>
                <w:iCs/>
                <w:sz w:val="22"/>
                <w:szCs w:val="22"/>
              </w:rPr>
              <w:t>For new projects, a level of workforce flexibility will be required and it is expected that staff from other IT SBU service areas and from other NSS SBU’s will work jointly in short life teams, as necessary.  The post-holder must manage the conflicting demands that this entails, negotiating and influencing customers in terms of timescales and deadlines.</w:t>
            </w:r>
          </w:p>
        </w:tc>
      </w:tr>
    </w:tbl>
    <w:p w:rsidR="000B206D" w:rsidRDefault="000B206D" w:rsidP="000B206D">
      <w:pPr>
        <w:pStyle w:val="Header"/>
        <w:tabs>
          <w:tab w:val="clear" w:pos="4153"/>
          <w:tab w:val="clear" w:pos="8306"/>
        </w:tabs>
        <w:spacing w:before="120"/>
      </w:pPr>
    </w:p>
    <w:tbl>
      <w:tblPr>
        <w:tblW w:w="102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06"/>
      </w:tblGrid>
      <w:tr w:rsidR="000B206D">
        <w:trPr>
          <w:trHeight w:val="6113"/>
        </w:trPr>
        <w:tc>
          <w:tcPr>
            <w:tcW w:w="10206" w:type="dxa"/>
            <w:tcBorders>
              <w:top w:val="single" w:sz="6" w:space="0" w:color="auto"/>
              <w:left w:val="single" w:sz="6" w:space="0" w:color="auto"/>
              <w:right w:val="single" w:sz="6" w:space="0" w:color="auto"/>
            </w:tcBorders>
          </w:tcPr>
          <w:p w:rsidR="000B206D" w:rsidRPr="00181AB0" w:rsidRDefault="000B206D" w:rsidP="000B206D">
            <w:pPr>
              <w:pStyle w:val="Heading2"/>
              <w:numPr>
                <w:ilvl w:val="0"/>
                <w:numId w:val="4"/>
              </w:numPr>
              <w:tabs>
                <w:tab w:val="clear" w:pos="810"/>
                <w:tab w:val="num" w:pos="318"/>
              </w:tabs>
              <w:ind w:hanging="918"/>
              <w:rPr>
                <w:b/>
                <w:i w:val="0"/>
                <w:sz w:val="22"/>
                <w:szCs w:val="22"/>
              </w:rPr>
            </w:pPr>
            <w:r w:rsidRPr="00181AB0">
              <w:rPr>
                <w:b/>
                <w:i w:val="0"/>
                <w:sz w:val="22"/>
                <w:szCs w:val="22"/>
              </w:rPr>
              <w:t>ORGANISATIONAL CHART</w:t>
            </w:r>
          </w:p>
          <w:p w:rsidR="000B206D" w:rsidRDefault="00A546E6" w:rsidP="000B206D">
            <w:pPr>
              <w:jc w:val="both"/>
            </w:pPr>
            <w:r>
              <w:rPr>
                <w:noProof/>
                <w:lang w:eastAsia="en-GB"/>
              </w:rPr>
              <w:drawing>
                <wp:inline distT="0" distB="0" distL="0" distR="0">
                  <wp:extent cx="6343650" cy="4758055"/>
                  <wp:effectExtent l="19050" t="0" r="0" b="0"/>
                  <wp:docPr id="3" name="Picture 2" descr="A&amp;S org char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p;S org chart.tif"/>
                          <pic:cNvPicPr/>
                        </pic:nvPicPr>
                        <pic:blipFill>
                          <a:blip r:embed="rId7" cstate="print"/>
                          <a:stretch>
                            <a:fillRect/>
                          </a:stretch>
                        </pic:blipFill>
                        <pic:spPr>
                          <a:xfrm>
                            <a:off x="0" y="0"/>
                            <a:ext cx="6343650" cy="4758055"/>
                          </a:xfrm>
                          <a:prstGeom prst="rect">
                            <a:avLst/>
                          </a:prstGeom>
                        </pic:spPr>
                      </pic:pic>
                    </a:graphicData>
                  </a:graphic>
                </wp:inline>
              </w:drawing>
            </w:r>
          </w:p>
        </w:tc>
      </w:tr>
      <w:tr w:rsidR="000B206D">
        <w:trPr>
          <w:trHeight w:val="256"/>
        </w:trPr>
        <w:tc>
          <w:tcPr>
            <w:tcW w:w="10206" w:type="dxa"/>
            <w:tcBorders>
              <w:left w:val="single" w:sz="6" w:space="0" w:color="auto"/>
              <w:right w:val="single" w:sz="6" w:space="0" w:color="auto"/>
            </w:tcBorders>
          </w:tcPr>
          <w:p w:rsidR="000B206D" w:rsidRPr="00A906D0" w:rsidRDefault="000B206D" w:rsidP="000B206D">
            <w:pPr>
              <w:pStyle w:val="Heading2"/>
              <w:ind w:left="-108"/>
              <w:jc w:val="both"/>
              <w:rPr>
                <w:b/>
                <w:noProof/>
                <w:lang w:val="en-US"/>
              </w:rPr>
            </w:pPr>
          </w:p>
        </w:tc>
      </w:tr>
      <w:tr w:rsidR="000B206D">
        <w:trPr>
          <w:trHeight w:val="836"/>
        </w:trPr>
        <w:tc>
          <w:tcPr>
            <w:tcW w:w="10206" w:type="dxa"/>
            <w:tcBorders>
              <w:left w:val="single" w:sz="6" w:space="0" w:color="auto"/>
              <w:bottom w:val="single" w:sz="6" w:space="0" w:color="auto"/>
              <w:right w:val="single" w:sz="6" w:space="0" w:color="auto"/>
            </w:tcBorders>
          </w:tcPr>
          <w:p w:rsidR="000B206D" w:rsidRPr="00A906D0" w:rsidRDefault="000B206D" w:rsidP="000B206D">
            <w:pPr>
              <w:pStyle w:val="Heading2"/>
              <w:ind w:left="-108"/>
              <w:jc w:val="both"/>
              <w:rPr>
                <w:b/>
                <w:noProof/>
                <w:lang w:val="en-US"/>
              </w:rPr>
            </w:pPr>
            <w:r w:rsidRPr="00A906D0">
              <w:rPr>
                <w:b/>
                <w:noProof/>
                <w:lang w:val="en-US"/>
              </w:rPr>
              <w:t xml:space="preserve">Note:  Each </w:t>
            </w:r>
            <w:r>
              <w:rPr>
                <w:b/>
                <w:noProof/>
                <w:lang w:val="en-US"/>
              </w:rPr>
              <w:t>Service Area</w:t>
            </w:r>
            <w:r w:rsidRPr="00A906D0">
              <w:rPr>
                <w:b/>
                <w:noProof/>
                <w:lang w:val="en-US"/>
              </w:rPr>
              <w:t xml:space="preserve"> is staffed according to the requirements of </w:t>
            </w:r>
            <w:r>
              <w:rPr>
                <w:b/>
                <w:noProof/>
                <w:lang w:val="en-US"/>
              </w:rPr>
              <w:t>Service Area</w:t>
            </w:r>
            <w:r w:rsidRPr="00A906D0">
              <w:rPr>
                <w:b/>
                <w:noProof/>
                <w:lang w:val="en-US"/>
              </w:rPr>
              <w:t xml:space="preserve">.  This structure chart outlines that the staffing levels, and reporting lines, vary between each of the </w:t>
            </w:r>
            <w:r>
              <w:rPr>
                <w:b/>
                <w:noProof/>
                <w:lang w:val="en-US"/>
              </w:rPr>
              <w:t>Service Areas</w:t>
            </w:r>
            <w:r w:rsidRPr="00A906D0">
              <w:rPr>
                <w:b/>
                <w:noProof/>
                <w:lang w:val="en-US"/>
              </w:rPr>
              <w:t xml:space="preserve">.  The responsibilities of the </w:t>
            </w:r>
            <w:r>
              <w:rPr>
                <w:b/>
                <w:noProof/>
                <w:lang w:val="en-US"/>
              </w:rPr>
              <w:t>Heads of Service</w:t>
            </w:r>
            <w:r w:rsidRPr="00A906D0">
              <w:rPr>
                <w:b/>
                <w:noProof/>
                <w:lang w:val="en-US"/>
              </w:rPr>
              <w:t xml:space="preserve"> are, however, consistent </w:t>
            </w:r>
            <w:r>
              <w:rPr>
                <w:b/>
                <w:noProof/>
                <w:lang w:val="en-US"/>
              </w:rPr>
              <w:t>across</w:t>
            </w:r>
            <w:r w:rsidRPr="00A906D0">
              <w:rPr>
                <w:b/>
                <w:noProof/>
                <w:lang w:val="en-US"/>
              </w:rPr>
              <w:t xml:space="preserve"> each of the </w:t>
            </w:r>
            <w:r>
              <w:rPr>
                <w:b/>
                <w:noProof/>
                <w:lang w:val="en-US"/>
              </w:rPr>
              <w:t>Service Areas</w:t>
            </w:r>
            <w:r w:rsidRPr="00A906D0">
              <w:rPr>
                <w:b/>
                <w:noProof/>
                <w:lang w:val="en-US"/>
              </w:rPr>
              <w:t>.</w:t>
            </w:r>
          </w:p>
        </w:tc>
      </w:tr>
    </w:tbl>
    <w:p w:rsidR="000B206D" w:rsidRDefault="000B206D" w:rsidP="000B206D">
      <w:pPr>
        <w:pStyle w:val="Footer"/>
        <w:tabs>
          <w:tab w:val="clear" w:pos="4153"/>
          <w:tab w:val="clear" w:pos="8306"/>
        </w:tabs>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B206D">
        <w:trPr>
          <w:trHeight w:val="454"/>
        </w:trPr>
        <w:tc>
          <w:tcPr>
            <w:tcW w:w="10456" w:type="dxa"/>
            <w:tcBorders>
              <w:top w:val="single" w:sz="6" w:space="0" w:color="auto"/>
              <w:left w:val="single" w:sz="6" w:space="0" w:color="auto"/>
              <w:right w:val="single" w:sz="6" w:space="0" w:color="auto"/>
            </w:tcBorders>
          </w:tcPr>
          <w:p w:rsidR="000B206D" w:rsidRPr="00010BD1" w:rsidRDefault="000B206D" w:rsidP="000B206D">
            <w:pPr>
              <w:spacing w:before="120"/>
              <w:rPr>
                <w:b/>
                <w:sz w:val="22"/>
                <w:szCs w:val="22"/>
              </w:rPr>
            </w:pPr>
            <w:r>
              <w:lastRenderedPageBreak/>
              <w:br w:type="page"/>
            </w:r>
            <w:r w:rsidRPr="00010BD1">
              <w:rPr>
                <w:b/>
                <w:sz w:val="22"/>
                <w:szCs w:val="22"/>
              </w:rPr>
              <w:br w:type="page"/>
              <w:t>5.   ROLE OF THE DEPARTMENT</w:t>
            </w:r>
          </w:p>
        </w:tc>
      </w:tr>
      <w:tr w:rsidR="000B206D">
        <w:trPr>
          <w:trHeight w:val="492"/>
        </w:trPr>
        <w:tc>
          <w:tcPr>
            <w:tcW w:w="10456" w:type="dxa"/>
            <w:tcBorders>
              <w:left w:val="single" w:sz="6" w:space="0" w:color="auto"/>
              <w:bottom w:val="single" w:sz="6" w:space="0" w:color="auto"/>
              <w:right w:val="single" w:sz="6" w:space="0" w:color="auto"/>
            </w:tcBorders>
          </w:tcPr>
          <w:p w:rsidR="000B206D" w:rsidRPr="00181AB0" w:rsidRDefault="000B206D" w:rsidP="00181AB0">
            <w:pPr>
              <w:spacing w:before="120" w:after="120"/>
              <w:rPr>
                <w:iCs/>
                <w:sz w:val="22"/>
                <w:szCs w:val="22"/>
              </w:rPr>
            </w:pPr>
            <w:r w:rsidRPr="00181AB0">
              <w:rPr>
                <w:iCs/>
                <w:sz w:val="22"/>
                <w:szCs w:val="22"/>
              </w:rPr>
              <w:t>The role of the IT SBU is to support the NHS Scotland national eHealth agenda through the effective delivery of IM&amp;T products and specialist services that will enable clinical process and efficiency improvements across Scotland. The core remit is focused on the management and delivery of IM&amp;T services focused on the development and enablement of national level business and clinical capabilities. This includes the delivery of IM&amp;T services, systems, data and contracts which enable cross-Board/ boundary integration, workflow, information sharing, cost efficiency realisation and collaboration.</w:t>
            </w:r>
          </w:p>
          <w:p w:rsidR="000B206D" w:rsidRPr="00181AB0" w:rsidRDefault="000B206D" w:rsidP="00181AB0">
            <w:pPr>
              <w:spacing w:before="120" w:after="120"/>
              <w:rPr>
                <w:iCs/>
                <w:sz w:val="22"/>
                <w:szCs w:val="22"/>
              </w:rPr>
            </w:pPr>
            <w:r w:rsidRPr="00181AB0">
              <w:rPr>
                <w:iCs/>
                <w:sz w:val="22"/>
                <w:szCs w:val="22"/>
              </w:rPr>
              <w:t>IT SBU has of the order of 350 staff, approximately 260 based in Edinburgh and 90 based in Glasgow where national level software application products are developed, maintained and supported. IT SBU is currently involved in over 50 projects and programmes in support of eHealth across NHS Scotland.</w:t>
            </w:r>
          </w:p>
          <w:p w:rsidR="000B206D" w:rsidRPr="00181AB0" w:rsidRDefault="000B206D" w:rsidP="00181AB0">
            <w:pPr>
              <w:numPr>
                <w:ilvl w:val="0"/>
                <w:numId w:val="6"/>
              </w:numPr>
              <w:spacing w:before="120" w:after="120"/>
              <w:rPr>
                <w:iCs/>
                <w:sz w:val="22"/>
                <w:szCs w:val="22"/>
              </w:rPr>
            </w:pPr>
            <w:r w:rsidRPr="00181AB0">
              <w:rPr>
                <w:iCs/>
                <w:sz w:val="22"/>
                <w:szCs w:val="22"/>
              </w:rPr>
              <w:t>The vision of the organisation is ‘To be valued as a trusted, integral IT services partner’</w:t>
            </w:r>
          </w:p>
          <w:p w:rsidR="000B206D" w:rsidRPr="00181AB0" w:rsidRDefault="000B206D" w:rsidP="00181AB0">
            <w:pPr>
              <w:numPr>
                <w:ilvl w:val="0"/>
                <w:numId w:val="6"/>
              </w:numPr>
              <w:spacing w:before="120" w:after="120"/>
              <w:rPr>
                <w:iCs/>
                <w:sz w:val="22"/>
                <w:szCs w:val="22"/>
              </w:rPr>
            </w:pPr>
            <w:r w:rsidRPr="00181AB0">
              <w:rPr>
                <w:iCs/>
                <w:sz w:val="22"/>
                <w:szCs w:val="22"/>
              </w:rPr>
              <w:t>The mission of the organisation is ‘To deliver high value national and specialist IT services which maximise health and financial impact’</w:t>
            </w:r>
          </w:p>
          <w:p w:rsidR="000B206D" w:rsidRPr="00181AB0" w:rsidRDefault="000B206D" w:rsidP="00181AB0">
            <w:pPr>
              <w:numPr>
                <w:ilvl w:val="0"/>
                <w:numId w:val="6"/>
              </w:numPr>
              <w:spacing w:before="120" w:after="120"/>
              <w:rPr>
                <w:iCs/>
                <w:sz w:val="22"/>
                <w:szCs w:val="22"/>
              </w:rPr>
            </w:pPr>
            <w:r w:rsidRPr="00181AB0">
              <w:rPr>
                <w:iCs/>
                <w:sz w:val="22"/>
                <w:szCs w:val="22"/>
              </w:rPr>
              <w:t>The purpose of the organisation is ‘To provide high value shared services, enable national level IM&amp;T capabilities and cross- Board/ boundary collaboration’</w:t>
            </w:r>
          </w:p>
          <w:p w:rsidR="000B206D" w:rsidRPr="00181AB0" w:rsidRDefault="000B206D" w:rsidP="00181AB0">
            <w:pPr>
              <w:spacing w:before="120" w:after="120"/>
              <w:rPr>
                <w:iCs/>
                <w:sz w:val="22"/>
                <w:szCs w:val="22"/>
              </w:rPr>
            </w:pPr>
            <w:r w:rsidRPr="00181AB0">
              <w:rPr>
                <w:iCs/>
                <w:sz w:val="22"/>
                <w:szCs w:val="22"/>
              </w:rPr>
              <w:t>The service model is focused on the following key areas:</w:t>
            </w:r>
          </w:p>
          <w:p w:rsidR="000B206D" w:rsidRPr="00181AB0" w:rsidRDefault="000B206D" w:rsidP="00181AB0">
            <w:pPr>
              <w:rPr>
                <w:iCs/>
                <w:sz w:val="22"/>
                <w:szCs w:val="22"/>
              </w:rPr>
            </w:pPr>
            <w:r w:rsidRPr="00181AB0">
              <w:rPr>
                <w:b/>
                <w:bCs/>
                <w:iCs/>
                <w:sz w:val="22"/>
                <w:szCs w:val="22"/>
              </w:rPr>
              <w:t>&gt; Architecture &amp; Consulting</w:t>
            </w:r>
          </w:p>
          <w:p w:rsidR="000B206D" w:rsidRPr="00181AB0" w:rsidRDefault="000B206D" w:rsidP="00181AB0">
            <w:pPr>
              <w:rPr>
                <w:iCs/>
                <w:sz w:val="22"/>
                <w:szCs w:val="22"/>
              </w:rPr>
            </w:pPr>
            <w:r w:rsidRPr="00181AB0">
              <w:rPr>
                <w:iCs/>
                <w:sz w:val="22"/>
                <w:szCs w:val="22"/>
              </w:rPr>
              <w:t>Providing focused IM&amp;T expertise and advice to eHealth and business communities</w:t>
            </w:r>
          </w:p>
          <w:p w:rsidR="000B206D" w:rsidRPr="00181AB0" w:rsidRDefault="000B206D" w:rsidP="00181AB0">
            <w:pPr>
              <w:rPr>
                <w:b/>
                <w:iCs/>
                <w:sz w:val="22"/>
                <w:szCs w:val="22"/>
              </w:rPr>
            </w:pPr>
          </w:p>
          <w:p w:rsidR="000B206D" w:rsidRPr="00181AB0" w:rsidRDefault="000B206D" w:rsidP="00181AB0">
            <w:pPr>
              <w:rPr>
                <w:b/>
                <w:iCs/>
                <w:sz w:val="22"/>
                <w:szCs w:val="22"/>
              </w:rPr>
            </w:pPr>
            <w:r w:rsidRPr="00181AB0">
              <w:rPr>
                <w:b/>
                <w:iCs/>
                <w:sz w:val="22"/>
                <w:szCs w:val="22"/>
              </w:rPr>
              <w:t>&gt; Contract &amp; Vendor Management Services</w:t>
            </w:r>
          </w:p>
          <w:p w:rsidR="000B206D" w:rsidRPr="00181AB0" w:rsidRDefault="000B206D" w:rsidP="00181AB0">
            <w:pPr>
              <w:rPr>
                <w:iCs/>
                <w:sz w:val="22"/>
                <w:szCs w:val="22"/>
              </w:rPr>
            </w:pPr>
            <w:r w:rsidRPr="00181AB0">
              <w:rPr>
                <w:iCs/>
                <w:sz w:val="22"/>
                <w:szCs w:val="22"/>
              </w:rPr>
              <w:t>Managing 3rd party national level eHealth suppliers end-to-end</w:t>
            </w:r>
          </w:p>
          <w:p w:rsidR="000B206D" w:rsidRPr="00181AB0" w:rsidRDefault="000B206D" w:rsidP="00181AB0">
            <w:pPr>
              <w:rPr>
                <w:iCs/>
                <w:sz w:val="22"/>
                <w:szCs w:val="22"/>
              </w:rPr>
            </w:pPr>
          </w:p>
          <w:p w:rsidR="000B206D" w:rsidRPr="00181AB0" w:rsidRDefault="000B206D" w:rsidP="00181AB0">
            <w:pPr>
              <w:rPr>
                <w:b/>
                <w:iCs/>
                <w:sz w:val="22"/>
                <w:szCs w:val="22"/>
              </w:rPr>
            </w:pPr>
            <w:r w:rsidRPr="00181AB0">
              <w:rPr>
                <w:b/>
                <w:iCs/>
                <w:sz w:val="22"/>
                <w:szCs w:val="22"/>
              </w:rPr>
              <w:t>&gt; Programme &amp; Project Management</w:t>
            </w:r>
          </w:p>
          <w:p w:rsidR="000B206D" w:rsidRPr="00181AB0" w:rsidRDefault="000B206D" w:rsidP="00181AB0">
            <w:pPr>
              <w:rPr>
                <w:iCs/>
                <w:sz w:val="22"/>
                <w:szCs w:val="22"/>
              </w:rPr>
            </w:pPr>
            <w:r w:rsidRPr="00181AB0">
              <w:rPr>
                <w:iCs/>
                <w:sz w:val="22"/>
                <w:szCs w:val="22"/>
              </w:rPr>
              <w:t xml:space="preserve">Scalable and adaptable delivery of eHealth initiatives at national level.  </w:t>
            </w:r>
          </w:p>
          <w:p w:rsidR="000B206D" w:rsidRPr="00181AB0" w:rsidRDefault="000B206D" w:rsidP="00181AB0">
            <w:pPr>
              <w:rPr>
                <w:iCs/>
                <w:sz w:val="22"/>
                <w:szCs w:val="22"/>
              </w:rPr>
            </w:pPr>
          </w:p>
          <w:p w:rsidR="000B206D" w:rsidRPr="00181AB0" w:rsidRDefault="000B206D" w:rsidP="00181AB0">
            <w:pPr>
              <w:rPr>
                <w:b/>
                <w:iCs/>
                <w:sz w:val="22"/>
                <w:szCs w:val="22"/>
              </w:rPr>
            </w:pPr>
            <w:r w:rsidRPr="00181AB0">
              <w:rPr>
                <w:b/>
                <w:iCs/>
                <w:sz w:val="22"/>
                <w:szCs w:val="22"/>
              </w:rPr>
              <w:t>&gt; Solutions Design, Development, Integration &amp; Maintenance</w:t>
            </w:r>
          </w:p>
          <w:p w:rsidR="000B206D" w:rsidRPr="00181AB0" w:rsidRDefault="000B206D" w:rsidP="00181AB0">
            <w:pPr>
              <w:rPr>
                <w:iCs/>
                <w:sz w:val="22"/>
                <w:szCs w:val="22"/>
              </w:rPr>
            </w:pPr>
            <w:r w:rsidRPr="00181AB0">
              <w:rPr>
                <w:iCs/>
                <w:sz w:val="22"/>
                <w:szCs w:val="22"/>
              </w:rPr>
              <w:t xml:space="preserve">Bespoke systems development, maintenance and support </w:t>
            </w:r>
          </w:p>
          <w:p w:rsidR="000B206D" w:rsidRPr="00181AB0" w:rsidRDefault="000B206D" w:rsidP="00181AB0">
            <w:pPr>
              <w:rPr>
                <w:iCs/>
                <w:sz w:val="22"/>
                <w:szCs w:val="22"/>
              </w:rPr>
            </w:pPr>
          </w:p>
          <w:p w:rsidR="000B206D" w:rsidRPr="00181AB0" w:rsidRDefault="000B206D" w:rsidP="00181AB0">
            <w:pPr>
              <w:rPr>
                <w:b/>
                <w:iCs/>
                <w:sz w:val="22"/>
                <w:szCs w:val="22"/>
              </w:rPr>
            </w:pPr>
            <w:r w:rsidRPr="00181AB0">
              <w:rPr>
                <w:b/>
                <w:iCs/>
                <w:sz w:val="22"/>
                <w:szCs w:val="22"/>
              </w:rPr>
              <w:t>&gt; National Solutions Accreditation &amp; Testing</w:t>
            </w:r>
          </w:p>
          <w:p w:rsidR="000B206D" w:rsidRPr="00181AB0" w:rsidRDefault="000B206D" w:rsidP="00181AB0">
            <w:pPr>
              <w:rPr>
                <w:iCs/>
                <w:sz w:val="22"/>
                <w:szCs w:val="22"/>
              </w:rPr>
            </w:pPr>
            <w:r w:rsidRPr="00181AB0">
              <w:rPr>
                <w:iCs/>
                <w:sz w:val="22"/>
                <w:szCs w:val="22"/>
              </w:rPr>
              <w:t>Assuring inter-operability of the national architecture</w:t>
            </w:r>
          </w:p>
          <w:p w:rsidR="000B206D" w:rsidRPr="00181AB0" w:rsidRDefault="000B206D" w:rsidP="00181AB0">
            <w:pPr>
              <w:rPr>
                <w:iCs/>
                <w:sz w:val="22"/>
                <w:szCs w:val="22"/>
              </w:rPr>
            </w:pPr>
          </w:p>
          <w:p w:rsidR="000B206D" w:rsidRPr="00181AB0" w:rsidRDefault="000B206D" w:rsidP="00181AB0">
            <w:pPr>
              <w:rPr>
                <w:b/>
                <w:iCs/>
                <w:sz w:val="22"/>
                <w:szCs w:val="22"/>
              </w:rPr>
            </w:pPr>
            <w:r w:rsidRPr="00181AB0">
              <w:rPr>
                <w:b/>
                <w:iCs/>
                <w:sz w:val="22"/>
                <w:szCs w:val="22"/>
              </w:rPr>
              <w:t>&gt; Solution Stewardship / Service Management</w:t>
            </w:r>
          </w:p>
          <w:p w:rsidR="000B206D" w:rsidRPr="00181AB0" w:rsidRDefault="000B206D" w:rsidP="00181AB0">
            <w:pPr>
              <w:rPr>
                <w:iCs/>
                <w:sz w:val="22"/>
                <w:szCs w:val="22"/>
              </w:rPr>
            </w:pPr>
            <w:r w:rsidRPr="00181AB0">
              <w:rPr>
                <w:iCs/>
                <w:sz w:val="22"/>
                <w:szCs w:val="22"/>
              </w:rPr>
              <w:t>Managing service delivery assurance for systems after ‘go live</w:t>
            </w:r>
          </w:p>
          <w:p w:rsidR="000B206D" w:rsidRPr="00181AB0" w:rsidRDefault="000B206D" w:rsidP="00181AB0">
            <w:pPr>
              <w:rPr>
                <w:iCs/>
                <w:sz w:val="22"/>
                <w:szCs w:val="22"/>
              </w:rPr>
            </w:pPr>
          </w:p>
          <w:p w:rsidR="000B206D" w:rsidRPr="00181AB0" w:rsidRDefault="000B206D" w:rsidP="00181AB0">
            <w:pPr>
              <w:rPr>
                <w:b/>
                <w:iCs/>
                <w:sz w:val="22"/>
                <w:szCs w:val="22"/>
              </w:rPr>
            </w:pPr>
            <w:r w:rsidRPr="00181AB0">
              <w:rPr>
                <w:b/>
                <w:iCs/>
                <w:sz w:val="22"/>
                <w:szCs w:val="22"/>
              </w:rPr>
              <w:t>&gt; Infrastructure Management</w:t>
            </w:r>
          </w:p>
          <w:p w:rsidR="000B206D" w:rsidRPr="00181AB0" w:rsidRDefault="000B206D" w:rsidP="00181AB0">
            <w:pPr>
              <w:rPr>
                <w:iCs/>
                <w:sz w:val="22"/>
                <w:szCs w:val="22"/>
              </w:rPr>
            </w:pPr>
            <w:r w:rsidRPr="00181AB0">
              <w:rPr>
                <w:iCs/>
                <w:sz w:val="22"/>
                <w:szCs w:val="22"/>
              </w:rPr>
              <w:t>Managing the delivery of customer service, LAN, desktop and other infrastructure services</w:t>
            </w:r>
          </w:p>
          <w:p w:rsidR="000B206D" w:rsidRPr="00181AB0" w:rsidRDefault="000B206D" w:rsidP="00181AB0">
            <w:pPr>
              <w:rPr>
                <w:iCs/>
                <w:sz w:val="22"/>
                <w:szCs w:val="22"/>
              </w:rPr>
            </w:pPr>
          </w:p>
          <w:p w:rsidR="000236F4" w:rsidRPr="00181AB0" w:rsidRDefault="000236F4" w:rsidP="00181AB0">
            <w:pPr>
              <w:rPr>
                <w:b/>
                <w:iCs/>
                <w:sz w:val="22"/>
                <w:szCs w:val="22"/>
              </w:rPr>
            </w:pPr>
            <w:r w:rsidRPr="00181AB0">
              <w:rPr>
                <w:b/>
                <w:iCs/>
                <w:sz w:val="22"/>
                <w:szCs w:val="22"/>
              </w:rPr>
              <w:t>&gt;Technology Office</w:t>
            </w:r>
          </w:p>
          <w:p w:rsidR="000236F4" w:rsidRPr="00181AB0" w:rsidRDefault="000236F4" w:rsidP="00181AB0">
            <w:pPr>
              <w:rPr>
                <w:iCs/>
                <w:sz w:val="22"/>
                <w:szCs w:val="22"/>
              </w:rPr>
            </w:pPr>
            <w:r w:rsidRPr="00181AB0">
              <w:rPr>
                <w:iCs/>
                <w:sz w:val="22"/>
                <w:szCs w:val="22"/>
              </w:rPr>
              <w:t xml:space="preserve">Managing the delivery of enterprise architecture services, solutions architecture and design, application and data architecture, architecture and information governance, and assurance and consulting </w:t>
            </w:r>
          </w:p>
          <w:p w:rsidR="000B206D" w:rsidRPr="00181AB0" w:rsidRDefault="000B206D" w:rsidP="00181AB0">
            <w:pPr>
              <w:pStyle w:val="NormalWeb"/>
              <w:spacing w:before="0" w:beforeAutospacing="0" w:after="0" w:afterAutospacing="0" w:line="240" w:lineRule="auto"/>
              <w:rPr>
                <w:color w:val="auto"/>
                <w:sz w:val="22"/>
                <w:szCs w:val="22"/>
              </w:rPr>
            </w:pPr>
          </w:p>
          <w:p w:rsidR="000B206D" w:rsidRPr="00EA5BB0" w:rsidRDefault="000B206D" w:rsidP="00181AB0">
            <w:pPr>
              <w:pStyle w:val="NormalWeb"/>
              <w:spacing w:before="0" w:beforeAutospacing="0" w:after="0" w:afterAutospacing="0" w:line="240" w:lineRule="auto"/>
              <w:rPr>
                <w:sz w:val="22"/>
                <w:szCs w:val="22"/>
              </w:rPr>
            </w:pPr>
            <w:r w:rsidRPr="00181AB0">
              <w:rPr>
                <w:color w:val="auto"/>
                <w:sz w:val="22"/>
                <w:szCs w:val="22"/>
              </w:rPr>
              <w:t>IT SBU  works in partnership with a wide range of organisations – NSS, NHS Scotland NHS Boards, Hospitals,  Primary Care Practitioners, Community Health Partnerships, Local Authorities, Scottish Government Directorates, Other UK eHealth agencies,  and major IM&amp;T product and service providers operating in the Scottish public sector.</w:t>
            </w:r>
          </w:p>
        </w:tc>
      </w:tr>
    </w:tbl>
    <w:p w:rsidR="000B206D" w:rsidRDefault="000B206D" w:rsidP="000B206D">
      <w:r>
        <w:br w:type="page"/>
      </w: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B206D">
        <w:trPr>
          <w:trHeight w:val="454"/>
        </w:trPr>
        <w:tc>
          <w:tcPr>
            <w:tcW w:w="10456" w:type="dxa"/>
            <w:tcBorders>
              <w:top w:val="single" w:sz="6" w:space="0" w:color="auto"/>
              <w:left w:val="single" w:sz="6" w:space="0" w:color="auto"/>
              <w:right w:val="single" w:sz="6" w:space="0" w:color="auto"/>
            </w:tcBorders>
          </w:tcPr>
          <w:p w:rsidR="000B206D" w:rsidRPr="00153265" w:rsidRDefault="000B206D" w:rsidP="000B206D">
            <w:pPr>
              <w:spacing w:before="120"/>
              <w:rPr>
                <w:b/>
                <w:sz w:val="22"/>
                <w:szCs w:val="22"/>
              </w:rPr>
            </w:pPr>
            <w:r w:rsidRPr="00153265">
              <w:rPr>
                <w:b/>
                <w:sz w:val="22"/>
                <w:szCs w:val="22"/>
              </w:rPr>
              <w:lastRenderedPageBreak/>
              <w:t>6.   KEY RESULT AREAS</w:t>
            </w:r>
          </w:p>
        </w:tc>
      </w:tr>
      <w:tr w:rsidR="000B206D">
        <w:tc>
          <w:tcPr>
            <w:tcW w:w="10456" w:type="dxa"/>
            <w:tcBorders>
              <w:left w:val="single" w:sz="6" w:space="0" w:color="auto"/>
              <w:bottom w:val="single" w:sz="6" w:space="0" w:color="auto"/>
              <w:right w:val="single" w:sz="6" w:space="0" w:color="auto"/>
            </w:tcBorders>
          </w:tcPr>
          <w:p w:rsidR="000B206D" w:rsidRDefault="000B206D" w:rsidP="00181AB0">
            <w:pPr>
              <w:numPr>
                <w:ilvl w:val="0"/>
                <w:numId w:val="1"/>
              </w:numPr>
              <w:rPr>
                <w:sz w:val="22"/>
                <w:szCs w:val="22"/>
              </w:rPr>
            </w:pPr>
            <w:r w:rsidRPr="005A57F8">
              <w:rPr>
                <w:sz w:val="22"/>
                <w:szCs w:val="22"/>
              </w:rPr>
              <w:t>Direct and manage multidisciplinary teams (staff and budget) for the IT SBU Architecture and Solutions Service Area, responsible</w:t>
            </w:r>
            <w:r w:rsidRPr="00153265">
              <w:rPr>
                <w:sz w:val="22"/>
                <w:szCs w:val="22"/>
              </w:rPr>
              <w:t xml:space="preserve"> for the development and delivery of high quality </w:t>
            </w:r>
            <w:r>
              <w:rPr>
                <w:sz w:val="22"/>
                <w:szCs w:val="22"/>
              </w:rPr>
              <w:t>and cost-effective IM&amp;T</w:t>
            </w:r>
            <w:r w:rsidRPr="00153265">
              <w:rPr>
                <w:sz w:val="22"/>
                <w:szCs w:val="22"/>
              </w:rPr>
              <w:t xml:space="preserve"> services to support the strategic aims of NHS Scotland and its partners.   Ensure that policies, procedures and standards, are developed and implemented, covering all aspects of financial, information and staff governance, and professional </w:t>
            </w:r>
            <w:r>
              <w:rPr>
                <w:sz w:val="22"/>
                <w:szCs w:val="22"/>
              </w:rPr>
              <w:t>IM&amp;T</w:t>
            </w:r>
            <w:r w:rsidRPr="00153265">
              <w:rPr>
                <w:sz w:val="22"/>
                <w:szCs w:val="22"/>
              </w:rPr>
              <w:t xml:space="preserve"> standards.</w:t>
            </w:r>
          </w:p>
          <w:p w:rsidR="000B206D" w:rsidRDefault="000B206D" w:rsidP="00181AB0">
            <w:pPr>
              <w:rPr>
                <w:sz w:val="22"/>
                <w:szCs w:val="22"/>
              </w:rPr>
            </w:pPr>
          </w:p>
          <w:p w:rsidR="000B206D" w:rsidRPr="00153265" w:rsidRDefault="000B206D" w:rsidP="00181AB0">
            <w:pPr>
              <w:pStyle w:val="TableNormalAnswerHelp"/>
              <w:numPr>
                <w:ilvl w:val="0"/>
                <w:numId w:val="1"/>
              </w:numPr>
              <w:spacing w:before="0" w:after="0"/>
              <w:ind w:left="357" w:hanging="357"/>
              <w:rPr>
                <w:rFonts w:ascii="Arial" w:hAnsi="Arial" w:cs="Arial"/>
                <w:sz w:val="22"/>
                <w:szCs w:val="22"/>
              </w:rPr>
            </w:pPr>
            <w:r w:rsidRPr="00153265">
              <w:rPr>
                <w:rFonts w:ascii="Arial" w:hAnsi="Arial" w:cs="Arial"/>
                <w:sz w:val="22"/>
                <w:szCs w:val="22"/>
              </w:rPr>
              <w:t xml:space="preserve">Provide national leadership </w:t>
            </w:r>
            <w:r>
              <w:rPr>
                <w:rFonts w:ascii="Arial" w:hAnsi="Arial" w:cs="Arial"/>
                <w:sz w:val="22"/>
                <w:szCs w:val="22"/>
              </w:rPr>
              <w:t xml:space="preserve">for the ongoing development, </w:t>
            </w:r>
            <w:r w:rsidRPr="00153265">
              <w:rPr>
                <w:rFonts w:ascii="Arial" w:hAnsi="Arial" w:cs="Arial"/>
                <w:sz w:val="22"/>
                <w:szCs w:val="22"/>
              </w:rPr>
              <w:t xml:space="preserve">modernisation </w:t>
            </w:r>
            <w:r>
              <w:rPr>
                <w:rFonts w:ascii="Arial" w:hAnsi="Arial" w:cs="Arial"/>
                <w:sz w:val="22"/>
                <w:szCs w:val="22"/>
              </w:rPr>
              <w:t xml:space="preserve">and integration </w:t>
            </w:r>
            <w:r w:rsidRPr="00153265">
              <w:rPr>
                <w:rFonts w:ascii="Arial" w:hAnsi="Arial" w:cs="Arial"/>
                <w:sz w:val="22"/>
                <w:szCs w:val="22"/>
              </w:rPr>
              <w:t xml:space="preserve">of key </w:t>
            </w:r>
            <w:r>
              <w:rPr>
                <w:rFonts w:ascii="Arial" w:hAnsi="Arial" w:cs="Arial"/>
                <w:sz w:val="22"/>
                <w:szCs w:val="22"/>
              </w:rPr>
              <w:t xml:space="preserve">IM&amp;T infrastructures and </w:t>
            </w:r>
            <w:r w:rsidRPr="00153265">
              <w:rPr>
                <w:rFonts w:ascii="Arial" w:hAnsi="Arial" w:cs="Arial"/>
                <w:sz w:val="22"/>
                <w:szCs w:val="22"/>
              </w:rPr>
              <w:t xml:space="preserve">information systems by working with a wide range of clinical and managerial stakeholders, thus ensuring that </w:t>
            </w:r>
            <w:r>
              <w:rPr>
                <w:rFonts w:ascii="Arial" w:hAnsi="Arial" w:cs="Arial"/>
                <w:sz w:val="22"/>
                <w:szCs w:val="22"/>
              </w:rPr>
              <w:t>IT SBU’</w:t>
            </w:r>
            <w:r w:rsidRPr="00153265">
              <w:rPr>
                <w:rFonts w:ascii="Arial" w:hAnsi="Arial" w:cs="Arial"/>
                <w:sz w:val="22"/>
                <w:szCs w:val="22"/>
              </w:rPr>
              <w:t xml:space="preserve">s products and services develop to meet the changing needs of NHS Scotland, the Scottish Government and partner organisations.  </w:t>
            </w:r>
          </w:p>
          <w:p w:rsidR="000B206D" w:rsidRDefault="000B206D" w:rsidP="00181AB0">
            <w:pPr>
              <w:rPr>
                <w:sz w:val="22"/>
                <w:szCs w:val="22"/>
              </w:rPr>
            </w:pPr>
          </w:p>
          <w:p w:rsidR="000B206D" w:rsidRPr="00153265" w:rsidRDefault="000B206D" w:rsidP="00181AB0">
            <w:pPr>
              <w:pStyle w:val="TableNormalAnswerHelp"/>
              <w:numPr>
                <w:ilvl w:val="0"/>
                <w:numId w:val="1"/>
              </w:numPr>
              <w:spacing w:before="0" w:after="0"/>
              <w:ind w:left="357" w:hanging="357"/>
              <w:rPr>
                <w:rFonts w:ascii="Arial" w:hAnsi="Arial" w:cs="Arial"/>
                <w:sz w:val="22"/>
                <w:szCs w:val="22"/>
                <w:u w:val="single"/>
              </w:rPr>
            </w:pPr>
            <w:r w:rsidRPr="00153265">
              <w:rPr>
                <w:rFonts w:ascii="Arial" w:hAnsi="Arial" w:cs="Arial"/>
                <w:sz w:val="22"/>
                <w:szCs w:val="22"/>
              </w:rPr>
              <w:t>Contribute to national and local strategy and policy developments by building and maintaining deep partnerships with customers and stakeholders in the Scottish Government, NHS Scotland and partner organisations</w:t>
            </w:r>
            <w:r>
              <w:rPr>
                <w:rFonts w:ascii="Arial" w:hAnsi="Arial" w:cs="Arial"/>
                <w:sz w:val="22"/>
                <w:szCs w:val="22"/>
              </w:rPr>
              <w:t>, in line with the Divisional customer engagement strategy and plans</w:t>
            </w:r>
            <w:r w:rsidRPr="00153265">
              <w:rPr>
                <w:rFonts w:ascii="Arial" w:hAnsi="Arial" w:cs="Arial"/>
                <w:sz w:val="22"/>
                <w:szCs w:val="22"/>
              </w:rPr>
              <w:t>. Promote and embed information-based, and evidence-based, policy making, evaluation and decision making.</w:t>
            </w:r>
          </w:p>
          <w:p w:rsidR="000B206D" w:rsidRPr="00153265" w:rsidRDefault="000B206D" w:rsidP="00181AB0"/>
          <w:p w:rsidR="000B206D" w:rsidRPr="00153265" w:rsidRDefault="000B206D" w:rsidP="00181AB0">
            <w:pPr>
              <w:pStyle w:val="TableNormalAnswerHelp"/>
              <w:numPr>
                <w:ilvl w:val="0"/>
                <w:numId w:val="1"/>
              </w:numPr>
              <w:spacing w:before="0" w:after="0"/>
              <w:rPr>
                <w:rFonts w:ascii="Arial" w:hAnsi="Arial" w:cs="Arial"/>
                <w:sz w:val="22"/>
                <w:szCs w:val="22"/>
              </w:rPr>
            </w:pPr>
            <w:r w:rsidRPr="00153265">
              <w:rPr>
                <w:rFonts w:ascii="Arial" w:hAnsi="Arial" w:cs="Arial"/>
                <w:sz w:val="22"/>
                <w:szCs w:val="22"/>
              </w:rPr>
              <w:t>Recruit, lead, manage, motivate and develop high quality staff to ensure they are able to meet new challenges and are adaptable to the significant continuing technological and cultural changes taking place within NHS</w:t>
            </w:r>
            <w:r>
              <w:rPr>
                <w:rFonts w:ascii="Arial" w:hAnsi="Arial" w:cs="Arial"/>
                <w:sz w:val="22"/>
                <w:szCs w:val="22"/>
              </w:rPr>
              <w:t xml:space="preserve"> </w:t>
            </w:r>
            <w:r w:rsidRPr="00153265">
              <w:rPr>
                <w:rFonts w:ascii="Arial" w:hAnsi="Arial" w:cs="Arial"/>
                <w:sz w:val="22"/>
                <w:szCs w:val="22"/>
              </w:rPr>
              <w:t xml:space="preserve">Scotland and its partners, and have the required skills, knowledge and behaviours to respond to this.  </w:t>
            </w:r>
            <w:r>
              <w:rPr>
                <w:rFonts w:ascii="Arial" w:hAnsi="Arial" w:cs="Arial"/>
                <w:sz w:val="22"/>
                <w:szCs w:val="22"/>
              </w:rPr>
              <w:t>Responsible for developing staff to have a strong understanding of the operating context of their stakeholders.</w:t>
            </w:r>
          </w:p>
          <w:p w:rsidR="000B206D" w:rsidRPr="00153265" w:rsidRDefault="000B206D" w:rsidP="00181AB0">
            <w:pPr>
              <w:pStyle w:val="TableNormalAnswerHelp"/>
              <w:spacing w:before="0" w:after="0"/>
              <w:ind w:left="0"/>
              <w:rPr>
                <w:rFonts w:ascii="Arial" w:hAnsi="Arial" w:cs="Arial"/>
                <w:sz w:val="22"/>
                <w:szCs w:val="22"/>
              </w:rPr>
            </w:pPr>
          </w:p>
          <w:p w:rsidR="000B206D" w:rsidRPr="00153265" w:rsidRDefault="000B206D" w:rsidP="00181AB0">
            <w:pPr>
              <w:numPr>
                <w:ilvl w:val="0"/>
                <w:numId w:val="1"/>
              </w:numPr>
              <w:rPr>
                <w:noProof/>
                <w:sz w:val="22"/>
                <w:szCs w:val="22"/>
              </w:rPr>
            </w:pPr>
            <w:r w:rsidRPr="00153265">
              <w:rPr>
                <w:sz w:val="22"/>
                <w:szCs w:val="22"/>
              </w:rPr>
              <w:t xml:space="preserve">As a member of </w:t>
            </w:r>
            <w:r>
              <w:rPr>
                <w:sz w:val="22"/>
                <w:szCs w:val="22"/>
              </w:rPr>
              <w:t>IT SBU</w:t>
            </w:r>
            <w:r w:rsidRPr="00153265">
              <w:rPr>
                <w:sz w:val="22"/>
                <w:szCs w:val="22"/>
              </w:rPr>
              <w:t xml:space="preserve">’s </w:t>
            </w:r>
            <w:r>
              <w:rPr>
                <w:sz w:val="22"/>
                <w:szCs w:val="22"/>
              </w:rPr>
              <w:t>senior team</w:t>
            </w:r>
            <w:r w:rsidRPr="00153265">
              <w:rPr>
                <w:sz w:val="22"/>
                <w:szCs w:val="22"/>
              </w:rPr>
              <w:t xml:space="preserve">, contribute to the development and agreement of </w:t>
            </w:r>
            <w:r w:rsidRPr="00153265">
              <w:rPr>
                <w:color w:val="000000"/>
                <w:sz w:val="22"/>
                <w:szCs w:val="22"/>
              </w:rPr>
              <w:t>the Division’s long term strategic plan (typically 5 years) and key priorities.  Ensure robust stakeholder engagement in the development of the strategy so that the organisation continues to be align</w:t>
            </w:r>
            <w:r>
              <w:rPr>
                <w:color w:val="000000"/>
                <w:sz w:val="22"/>
                <w:szCs w:val="22"/>
              </w:rPr>
              <w:t xml:space="preserve">ed with, and relevant to, stakeholder </w:t>
            </w:r>
            <w:r w:rsidRPr="00153265">
              <w:rPr>
                <w:color w:val="000000"/>
                <w:sz w:val="22"/>
                <w:szCs w:val="22"/>
              </w:rPr>
              <w:t xml:space="preserve">needs.  </w:t>
            </w:r>
            <w:r>
              <w:rPr>
                <w:color w:val="000000"/>
                <w:sz w:val="22"/>
                <w:szCs w:val="22"/>
              </w:rPr>
              <w:t>Responsible for the delivery of relevant</w:t>
            </w:r>
            <w:r w:rsidRPr="00153265">
              <w:rPr>
                <w:color w:val="000000"/>
                <w:sz w:val="22"/>
                <w:szCs w:val="22"/>
              </w:rPr>
              <w:t xml:space="preserve"> NSS Local Delivery Plan</w:t>
            </w:r>
            <w:r>
              <w:rPr>
                <w:color w:val="000000"/>
                <w:sz w:val="22"/>
                <w:szCs w:val="22"/>
              </w:rPr>
              <w:t xml:space="preserve"> (LDP) objectives</w:t>
            </w:r>
            <w:r w:rsidRPr="00153265">
              <w:rPr>
                <w:color w:val="000000"/>
                <w:sz w:val="22"/>
                <w:szCs w:val="22"/>
              </w:rPr>
              <w:t xml:space="preserve">.  </w:t>
            </w:r>
          </w:p>
          <w:p w:rsidR="000B206D" w:rsidRPr="00153265" w:rsidRDefault="000B206D" w:rsidP="00181AB0">
            <w:pPr>
              <w:rPr>
                <w:noProof/>
                <w:sz w:val="22"/>
                <w:szCs w:val="22"/>
              </w:rPr>
            </w:pPr>
          </w:p>
          <w:p w:rsidR="000B206D" w:rsidRPr="00153265" w:rsidRDefault="000B206D" w:rsidP="00181AB0">
            <w:pPr>
              <w:numPr>
                <w:ilvl w:val="0"/>
                <w:numId w:val="1"/>
              </w:numPr>
              <w:rPr>
                <w:sz w:val="22"/>
                <w:szCs w:val="22"/>
              </w:rPr>
            </w:pPr>
            <w:r w:rsidRPr="00153265">
              <w:rPr>
                <w:color w:val="000000"/>
                <w:sz w:val="22"/>
                <w:szCs w:val="22"/>
              </w:rPr>
              <w:t>Develop robust financial, workforce and annual operational business plans to ensure agreed service and performance levels are met.  Utilise best practice in corporate and operational planning, governance and risk management, and business performance management reporting.</w:t>
            </w:r>
          </w:p>
          <w:p w:rsidR="000B206D" w:rsidRPr="00153265" w:rsidRDefault="000B206D" w:rsidP="00181AB0">
            <w:pPr>
              <w:rPr>
                <w:sz w:val="22"/>
                <w:szCs w:val="22"/>
              </w:rPr>
            </w:pPr>
            <w:r w:rsidRPr="00153265">
              <w:rPr>
                <w:sz w:val="22"/>
                <w:szCs w:val="22"/>
              </w:rPr>
              <w:t xml:space="preserve"> </w:t>
            </w:r>
          </w:p>
          <w:p w:rsidR="000B206D" w:rsidRPr="00153265" w:rsidRDefault="000B206D" w:rsidP="00181AB0">
            <w:pPr>
              <w:pStyle w:val="TableNormalAnswerHelp"/>
              <w:numPr>
                <w:ilvl w:val="0"/>
                <w:numId w:val="1"/>
              </w:numPr>
              <w:spacing w:before="0" w:after="0"/>
              <w:rPr>
                <w:rFonts w:ascii="Arial" w:hAnsi="Arial" w:cs="Arial"/>
                <w:sz w:val="22"/>
                <w:szCs w:val="22"/>
              </w:rPr>
            </w:pPr>
            <w:r w:rsidRPr="00153265">
              <w:rPr>
                <w:rFonts w:ascii="Arial" w:hAnsi="Arial" w:cs="Arial"/>
                <w:sz w:val="22"/>
                <w:szCs w:val="22"/>
              </w:rPr>
              <w:t xml:space="preserve">Prepare, negotiate and obtain budgetary agreement from internal and external sponsors, ensuring that active controls are set to monitor ongoing expenditure, </w:t>
            </w:r>
            <w:r>
              <w:rPr>
                <w:rFonts w:ascii="Arial" w:hAnsi="Arial" w:cs="Arial"/>
                <w:sz w:val="22"/>
                <w:szCs w:val="22"/>
              </w:rPr>
              <w:t xml:space="preserve">and </w:t>
            </w:r>
            <w:r w:rsidRPr="00153265">
              <w:rPr>
                <w:rFonts w:ascii="Arial" w:hAnsi="Arial" w:cs="Arial"/>
                <w:sz w:val="22"/>
                <w:szCs w:val="22"/>
              </w:rPr>
              <w:t xml:space="preserve">taking corrective action to ensure that spend remains within agreed levels.   </w:t>
            </w:r>
          </w:p>
          <w:p w:rsidR="000B206D" w:rsidRPr="00153265" w:rsidRDefault="000B206D" w:rsidP="00181AB0">
            <w:pPr>
              <w:pStyle w:val="TableNormalAnswerHelp"/>
              <w:spacing w:before="0" w:after="0"/>
              <w:ind w:left="0"/>
              <w:rPr>
                <w:rFonts w:ascii="Arial" w:hAnsi="Arial" w:cs="Arial"/>
                <w:sz w:val="22"/>
                <w:szCs w:val="22"/>
              </w:rPr>
            </w:pPr>
          </w:p>
          <w:p w:rsidR="000B206D" w:rsidRPr="00C372EE" w:rsidRDefault="000B206D" w:rsidP="00181AB0">
            <w:pPr>
              <w:pStyle w:val="Header"/>
              <w:numPr>
                <w:ilvl w:val="0"/>
                <w:numId w:val="1"/>
              </w:numPr>
              <w:tabs>
                <w:tab w:val="clear" w:pos="4153"/>
                <w:tab w:val="clear" w:pos="8306"/>
              </w:tabs>
              <w:overflowPunct/>
              <w:autoSpaceDE/>
              <w:autoSpaceDN/>
              <w:adjustRightInd/>
              <w:ind w:left="357" w:hanging="357"/>
              <w:textAlignment w:val="auto"/>
              <w:rPr>
                <w:sz w:val="22"/>
                <w:szCs w:val="22"/>
              </w:rPr>
            </w:pPr>
            <w:r w:rsidRPr="00C372EE">
              <w:rPr>
                <w:sz w:val="22"/>
                <w:szCs w:val="22"/>
              </w:rPr>
              <w:t>Lead and manage change and ongoing service improvement against a background where expert/stakeholder opinion may differ.  Identify and drive</w:t>
            </w:r>
            <w:r w:rsidRPr="00C372EE">
              <w:rPr>
                <w:color w:val="FF0000"/>
                <w:sz w:val="22"/>
                <w:szCs w:val="22"/>
              </w:rPr>
              <w:t xml:space="preserve"> </w:t>
            </w:r>
            <w:r w:rsidRPr="00C372EE">
              <w:rPr>
                <w:sz w:val="22"/>
                <w:szCs w:val="22"/>
              </w:rPr>
              <w:t xml:space="preserve">forward initiatives for modernisation and quality improvement along with productivity gain. Ensure </w:t>
            </w:r>
            <w:r>
              <w:rPr>
                <w:sz w:val="22"/>
                <w:szCs w:val="22"/>
              </w:rPr>
              <w:t xml:space="preserve">IT SBU </w:t>
            </w:r>
            <w:r w:rsidRPr="00C372EE">
              <w:rPr>
                <w:sz w:val="22"/>
                <w:szCs w:val="22"/>
              </w:rPr>
              <w:t xml:space="preserve">demonstrates value for money and achieves cash releasing efficiency savings whilst maintaining and improving service levels and customer satisfaction.  Develop innovative solutions to evolving requirements for </w:t>
            </w:r>
            <w:r>
              <w:rPr>
                <w:sz w:val="22"/>
                <w:szCs w:val="22"/>
              </w:rPr>
              <w:t>IM&amp;T services</w:t>
            </w:r>
            <w:r w:rsidRPr="00C372EE">
              <w:rPr>
                <w:sz w:val="22"/>
                <w:szCs w:val="22"/>
              </w:rPr>
              <w:t xml:space="preserve"> mak</w:t>
            </w:r>
            <w:r>
              <w:rPr>
                <w:sz w:val="22"/>
                <w:szCs w:val="22"/>
              </w:rPr>
              <w:t>ing</w:t>
            </w:r>
            <w:r w:rsidRPr="00C372EE">
              <w:rPr>
                <w:sz w:val="22"/>
                <w:szCs w:val="22"/>
              </w:rPr>
              <w:t xml:space="preserve"> best use of current technology, data processing and security, and </w:t>
            </w:r>
            <w:r>
              <w:rPr>
                <w:sz w:val="22"/>
                <w:szCs w:val="22"/>
              </w:rPr>
              <w:t>software development / support</w:t>
            </w:r>
            <w:r w:rsidRPr="00C372EE">
              <w:rPr>
                <w:sz w:val="22"/>
                <w:szCs w:val="22"/>
              </w:rPr>
              <w:t xml:space="preserve"> methodologies.</w:t>
            </w:r>
          </w:p>
          <w:p w:rsidR="000B206D" w:rsidRPr="00153265" w:rsidRDefault="000B206D" w:rsidP="00181AB0">
            <w:pPr>
              <w:pStyle w:val="TableNormalAnswerHelp"/>
              <w:spacing w:before="0" w:after="0"/>
              <w:ind w:left="0"/>
              <w:rPr>
                <w:rFonts w:ascii="Arial" w:hAnsi="Arial" w:cs="Arial"/>
                <w:sz w:val="22"/>
                <w:szCs w:val="22"/>
                <w:u w:val="single"/>
              </w:rPr>
            </w:pPr>
          </w:p>
          <w:p w:rsidR="000B206D" w:rsidRPr="00153265" w:rsidRDefault="000B206D" w:rsidP="00181AB0">
            <w:pPr>
              <w:pStyle w:val="Header"/>
              <w:numPr>
                <w:ilvl w:val="0"/>
                <w:numId w:val="1"/>
              </w:numPr>
              <w:tabs>
                <w:tab w:val="clear" w:pos="4153"/>
                <w:tab w:val="clear" w:pos="8306"/>
              </w:tabs>
              <w:overflowPunct/>
              <w:autoSpaceDE/>
              <w:autoSpaceDN/>
              <w:adjustRightInd/>
              <w:ind w:left="357" w:hanging="357"/>
              <w:textAlignment w:val="auto"/>
              <w:rPr>
                <w:sz w:val="22"/>
                <w:szCs w:val="22"/>
              </w:rPr>
            </w:pPr>
            <w:r>
              <w:rPr>
                <w:sz w:val="22"/>
                <w:szCs w:val="22"/>
              </w:rPr>
              <w:t>Represent IT SBU as service expert at senior levels</w:t>
            </w:r>
            <w:r w:rsidRPr="00153265">
              <w:rPr>
                <w:sz w:val="22"/>
                <w:szCs w:val="22"/>
              </w:rPr>
              <w:t>, p</w:t>
            </w:r>
            <w:r>
              <w:rPr>
                <w:sz w:val="22"/>
                <w:szCs w:val="22"/>
              </w:rPr>
              <w:t>articipating</w:t>
            </w:r>
            <w:r w:rsidRPr="00153265">
              <w:rPr>
                <w:sz w:val="22"/>
                <w:szCs w:val="22"/>
              </w:rPr>
              <w:t xml:space="preserve"> in national </w:t>
            </w:r>
            <w:r>
              <w:rPr>
                <w:sz w:val="22"/>
                <w:szCs w:val="22"/>
              </w:rPr>
              <w:t xml:space="preserve">governance groups and </w:t>
            </w:r>
            <w:r w:rsidRPr="00153265">
              <w:rPr>
                <w:sz w:val="22"/>
                <w:szCs w:val="22"/>
              </w:rPr>
              <w:t xml:space="preserve">policy forums to ensure that relevant </w:t>
            </w:r>
            <w:r>
              <w:rPr>
                <w:sz w:val="22"/>
                <w:szCs w:val="22"/>
              </w:rPr>
              <w:t>advice</w:t>
            </w:r>
            <w:r w:rsidRPr="00153265">
              <w:rPr>
                <w:sz w:val="22"/>
                <w:szCs w:val="22"/>
              </w:rPr>
              <w:t xml:space="preserve"> is made available for the development, modernising, policy making and planning of NHS Scotland and partner organisations.  </w:t>
            </w:r>
          </w:p>
          <w:p w:rsidR="000B206D" w:rsidRPr="00153265" w:rsidRDefault="000B206D" w:rsidP="00181AB0">
            <w:pPr>
              <w:pStyle w:val="Header"/>
              <w:tabs>
                <w:tab w:val="clear" w:pos="4153"/>
                <w:tab w:val="clear" w:pos="8306"/>
              </w:tabs>
              <w:overflowPunct/>
              <w:autoSpaceDE/>
              <w:autoSpaceDN/>
              <w:adjustRightInd/>
              <w:textAlignment w:val="auto"/>
              <w:rPr>
                <w:sz w:val="22"/>
                <w:szCs w:val="22"/>
              </w:rPr>
            </w:pPr>
          </w:p>
          <w:p w:rsidR="000B206D" w:rsidRPr="00181AB0" w:rsidRDefault="000B206D" w:rsidP="00181AB0">
            <w:pPr>
              <w:pStyle w:val="TableNormalAnswerHelp"/>
              <w:numPr>
                <w:ilvl w:val="0"/>
                <w:numId w:val="1"/>
              </w:numPr>
              <w:spacing w:before="0" w:after="0"/>
              <w:ind w:left="357" w:hanging="357"/>
              <w:rPr>
                <w:b/>
                <w:sz w:val="22"/>
                <w:szCs w:val="22"/>
              </w:rPr>
            </w:pPr>
            <w:r w:rsidRPr="00181AB0">
              <w:rPr>
                <w:rFonts w:ascii="Arial" w:hAnsi="Arial" w:cs="Arial"/>
                <w:sz w:val="22"/>
                <w:szCs w:val="22"/>
              </w:rPr>
              <w:t>Proactively market IT SBU’s services and products, through discussions with the Scottish Government, NHS Scotland and partner organisations in line with their priorities, negotiating and securing adequate funding.</w:t>
            </w:r>
          </w:p>
        </w:tc>
      </w:tr>
    </w:tbl>
    <w:p w:rsidR="000B206D" w:rsidRDefault="000B206D" w:rsidP="000B206D">
      <w:pPr>
        <w:pStyle w:val="Header"/>
        <w:tabs>
          <w:tab w:val="clear" w:pos="4153"/>
          <w:tab w:val="clear" w:pos="8306"/>
        </w:tabs>
        <w:spacing w:before="120"/>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B206D" w:rsidRPr="00BF3067">
        <w:trPr>
          <w:trHeight w:val="454"/>
        </w:trPr>
        <w:tc>
          <w:tcPr>
            <w:tcW w:w="10456" w:type="dxa"/>
            <w:tcBorders>
              <w:top w:val="single" w:sz="6" w:space="0" w:color="auto"/>
              <w:left w:val="single" w:sz="6" w:space="0" w:color="auto"/>
              <w:right w:val="single" w:sz="6" w:space="0" w:color="auto"/>
            </w:tcBorders>
          </w:tcPr>
          <w:p w:rsidR="000B206D" w:rsidRPr="00BF3067" w:rsidRDefault="000B206D" w:rsidP="000B206D">
            <w:pPr>
              <w:spacing w:before="120"/>
              <w:rPr>
                <w:b/>
                <w:sz w:val="22"/>
                <w:szCs w:val="22"/>
              </w:rPr>
            </w:pPr>
            <w:r>
              <w:br w:type="page"/>
            </w:r>
            <w:r w:rsidRPr="00BF3067">
              <w:rPr>
                <w:b/>
                <w:sz w:val="22"/>
                <w:szCs w:val="22"/>
              </w:rPr>
              <w:t>7.   ASSIGNMENT AND REVIEW OF WORK and DECISIONS AND JUDGEMENTS</w:t>
            </w:r>
          </w:p>
        </w:tc>
      </w:tr>
      <w:tr w:rsidR="000B206D" w:rsidRPr="00BF3067">
        <w:tc>
          <w:tcPr>
            <w:tcW w:w="10456" w:type="dxa"/>
            <w:tcBorders>
              <w:left w:val="single" w:sz="6" w:space="0" w:color="auto"/>
              <w:bottom w:val="single" w:sz="6" w:space="0" w:color="auto"/>
              <w:right w:val="single" w:sz="6" w:space="0" w:color="auto"/>
            </w:tcBorders>
          </w:tcPr>
          <w:p w:rsidR="000B206D" w:rsidRDefault="000B206D" w:rsidP="00181AB0">
            <w:pPr>
              <w:pStyle w:val="BodyText"/>
              <w:spacing w:before="0" w:after="0"/>
              <w:rPr>
                <w:b w:val="0"/>
                <w:sz w:val="22"/>
                <w:szCs w:val="22"/>
              </w:rPr>
            </w:pPr>
            <w:r w:rsidRPr="00057BCC">
              <w:rPr>
                <w:b w:val="0"/>
                <w:sz w:val="22"/>
                <w:szCs w:val="22"/>
              </w:rPr>
              <w:t xml:space="preserve">The Post holder is responsible for providing high level strategic and operational leadership for one of </w:t>
            </w:r>
            <w:r>
              <w:rPr>
                <w:b w:val="0"/>
                <w:sz w:val="22"/>
                <w:szCs w:val="22"/>
              </w:rPr>
              <w:t>IT SBU</w:t>
            </w:r>
            <w:r w:rsidRPr="00057BCC">
              <w:rPr>
                <w:b w:val="0"/>
                <w:sz w:val="22"/>
                <w:szCs w:val="22"/>
              </w:rPr>
              <w:t xml:space="preserve">’s major Service Areas. The post holder is fully accountable for </w:t>
            </w:r>
            <w:r>
              <w:rPr>
                <w:b w:val="0"/>
                <w:sz w:val="22"/>
                <w:szCs w:val="22"/>
              </w:rPr>
              <w:t xml:space="preserve">the delivery of business objectives, management of performance, and quality of deliverables in their area. </w:t>
            </w:r>
          </w:p>
          <w:p w:rsidR="000B206D" w:rsidRPr="00057BCC" w:rsidRDefault="000B206D" w:rsidP="00181AB0">
            <w:pPr>
              <w:pStyle w:val="BodyText"/>
              <w:spacing w:before="0" w:after="0"/>
              <w:rPr>
                <w:b w:val="0"/>
                <w:sz w:val="22"/>
                <w:szCs w:val="22"/>
              </w:rPr>
            </w:pPr>
          </w:p>
          <w:p w:rsidR="000B206D" w:rsidRPr="00057BCC" w:rsidRDefault="000B206D" w:rsidP="00181AB0">
            <w:pPr>
              <w:pStyle w:val="BodyText"/>
              <w:spacing w:before="0" w:after="0"/>
              <w:rPr>
                <w:b w:val="0"/>
                <w:sz w:val="22"/>
                <w:szCs w:val="22"/>
              </w:rPr>
            </w:pPr>
            <w:r w:rsidRPr="00057BCC">
              <w:rPr>
                <w:b w:val="0"/>
                <w:sz w:val="22"/>
                <w:szCs w:val="22"/>
              </w:rPr>
              <w:t xml:space="preserve">The post holder has autonomy to </w:t>
            </w:r>
            <w:r>
              <w:rPr>
                <w:b w:val="0"/>
                <w:sz w:val="22"/>
                <w:szCs w:val="22"/>
              </w:rPr>
              <w:t xml:space="preserve">determine strategy, </w:t>
            </w:r>
            <w:r w:rsidRPr="00057BCC">
              <w:rPr>
                <w:b w:val="0"/>
                <w:sz w:val="22"/>
                <w:szCs w:val="22"/>
              </w:rPr>
              <w:t>allocate resources and methods for achieving business objectives.  Strategic objectives, policy planning and specific projects can be set over varying time frames from annual business planning to 5 year strategic planning.  The post-holder ensures appropriate governance is in place for aspects of their business plans, including stakeholder engagement</w:t>
            </w:r>
            <w:r>
              <w:rPr>
                <w:b w:val="0"/>
                <w:sz w:val="22"/>
                <w:szCs w:val="22"/>
              </w:rPr>
              <w:t>, performance and quality management,</w:t>
            </w:r>
            <w:r w:rsidRPr="00057BCC">
              <w:rPr>
                <w:b w:val="0"/>
                <w:sz w:val="22"/>
                <w:szCs w:val="22"/>
              </w:rPr>
              <w:t xml:space="preserve"> and management of risk.</w:t>
            </w:r>
          </w:p>
          <w:p w:rsidR="000B206D" w:rsidRPr="00FE232A" w:rsidRDefault="000B206D" w:rsidP="00181AB0">
            <w:pPr>
              <w:pStyle w:val="BodyText"/>
              <w:spacing w:before="0" w:after="0"/>
              <w:rPr>
                <w:b w:val="0"/>
                <w:sz w:val="22"/>
                <w:szCs w:val="22"/>
              </w:rPr>
            </w:pPr>
          </w:p>
          <w:p w:rsidR="000B206D" w:rsidRPr="00FE232A" w:rsidRDefault="000B206D" w:rsidP="00181AB0">
            <w:pPr>
              <w:rPr>
                <w:sz w:val="22"/>
                <w:szCs w:val="22"/>
              </w:rPr>
            </w:pPr>
            <w:r w:rsidRPr="00FE232A">
              <w:rPr>
                <w:sz w:val="22"/>
                <w:szCs w:val="22"/>
              </w:rPr>
              <w:t>He /she participates in the formal Divisional performance appraisal scheme with annual objective setting and takes a proactive approach in the formulation of a personal development plan</w:t>
            </w:r>
            <w:r>
              <w:rPr>
                <w:sz w:val="22"/>
                <w:szCs w:val="22"/>
              </w:rPr>
              <w:t xml:space="preserve"> which supports the maintenance of the deep multidisciplinary knowledge required</w:t>
            </w:r>
            <w:r w:rsidRPr="00FE232A">
              <w:rPr>
                <w:sz w:val="22"/>
                <w:szCs w:val="22"/>
              </w:rPr>
              <w:t>. The Associate Director or Director will undertake evaluation of results and objectives.</w:t>
            </w:r>
          </w:p>
        </w:tc>
      </w:tr>
    </w:tbl>
    <w:p w:rsidR="000B206D" w:rsidRDefault="000B206D" w:rsidP="000B206D">
      <w:pPr>
        <w:pStyle w:val="Header"/>
        <w:tabs>
          <w:tab w:val="clear" w:pos="4153"/>
          <w:tab w:val="clear" w:pos="8306"/>
        </w:tabs>
        <w:spacing w:before="120"/>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B206D">
        <w:trPr>
          <w:trHeight w:val="454"/>
        </w:trPr>
        <w:tc>
          <w:tcPr>
            <w:tcW w:w="10456" w:type="dxa"/>
            <w:tcBorders>
              <w:top w:val="single" w:sz="6" w:space="0" w:color="auto"/>
              <w:left w:val="single" w:sz="6" w:space="0" w:color="auto"/>
              <w:right w:val="single" w:sz="6" w:space="0" w:color="auto"/>
            </w:tcBorders>
          </w:tcPr>
          <w:p w:rsidR="000B206D" w:rsidRDefault="000B206D" w:rsidP="000B206D">
            <w:pPr>
              <w:spacing w:before="120"/>
              <w:rPr>
                <w:b/>
                <w:sz w:val="22"/>
                <w:szCs w:val="22"/>
              </w:rPr>
            </w:pPr>
            <w:r w:rsidRPr="0016008A">
              <w:rPr>
                <w:b/>
                <w:sz w:val="22"/>
                <w:szCs w:val="22"/>
              </w:rPr>
              <w:t>8.   COMMUNICATIONS AND RELATIONSHIPS</w:t>
            </w:r>
          </w:p>
          <w:p w:rsidR="00181AB0" w:rsidRDefault="00181AB0" w:rsidP="000B206D">
            <w:pPr>
              <w:spacing w:before="120"/>
              <w:rPr>
                <w:b/>
                <w:sz w:val="22"/>
                <w:szCs w:val="22"/>
              </w:rPr>
            </w:pPr>
          </w:p>
          <w:p w:rsidR="00181AB0" w:rsidRPr="00181AB0" w:rsidRDefault="00181AB0" w:rsidP="00181AB0">
            <w:pPr>
              <w:pStyle w:val="Heading3"/>
              <w:rPr>
                <w:i w:val="0"/>
                <w:iCs w:val="0"/>
                <w:sz w:val="22"/>
                <w:szCs w:val="22"/>
              </w:rPr>
            </w:pPr>
            <w:r w:rsidRPr="00181AB0">
              <w:rPr>
                <w:b w:val="0"/>
                <w:i w:val="0"/>
                <w:iCs w:val="0"/>
                <w:sz w:val="22"/>
                <w:szCs w:val="22"/>
                <w:u w:val="single"/>
              </w:rPr>
              <w:t>Internal</w:t>
            </w:r>
          </w:p>
          <w:p w:rsidR="00181AB0" w:rsidRPr="00181AB0" w:rsidRDefault="00181AB0" w:rsidP="00181AB0">
            <w:pPr>
              <w:numPr>
                <w:ilvl w:val="0"/>
                <w:numId w:val="2"/>
              </w:numPr>
              <w:tabs>
                <w:tab w:val="clear" w:pos="757"/>
              </w:tabs>
              <w:ind w:left="360"/>
              <w:rPr>
                <w:sz w:val="22"/>
                <w:szCs w:val="22"/>
              </w:rPr>
            </w:pPr>
            <w:r w:rsidRPr="00181AB0">
              <w:rPr>
                <w:sz w:val="22"/>
                <w:szCs w:val="22"/>
              </w:rPr>
              <w:t>Director, IT Operations Director, other Heads of Service, Health Board eHealth Directors, Scottish Government Policy Leads and other senior managers on an informal basis to gain business intelligence, influence support for innovative solutions, to share vision, approach, objectives, progress, funding / budgets, staffing resource requirements and matters relative to the various services. On a more formal basis attend annual and 6 monthly cross Division strategic and priority setting meetings.</w:t>
            </w:r>
          </w:p>
          <w:p w:rsidR="00181AB0" w:rsidRPr="00181AB0" w:rsidRDefault="00181AB0" w:rsidP="00181AB0">
            <w:pPr>
              <w:numPr>
                <w:ilvl w:val="0"/>
                <w:numId w:val="2"/>
              </w:numPr>
              <w:tabs>
                <w:tab w:val="clear" w:pos="757"/>
              </w:tabs>
              <w:ind w:left="360"/>
              <w:rPr>
                <w:sz w:val="22"/>
                <w:szCs w:val="22"/>
              </w:rPr>
            </w:pPr>
            <w:r w:rsidRPr="00181AB0">
              <w:rPr>
                <w:rFonts w:cs="Times New Roman"/>
                <w:sz w:val="22"/>
                <w:szCs w:val="22"/>
              </w:rPr>
              <w:t>Regular meetings with Service Managers, IM&amp;T Consultants, Clinical Leads, IM&amp;T Development &amp; Support Managers and other staff in own Service Area to discuss priorities and monitor progress and performance towards business plan objectives.</w:t>
            </w:r>
          </w:p>
          <w:p w:rsidR="00181AB0" w:rsidRPr="00181AB0" w:rsidRDefault="00181AB0" w:rsidP="00181AB0">
            <w:pPr>
              <w:numPr>
                <w:ilvl w:val="0"/>
                <w:numId w:val="2"/>
              </w:numPr>
              <w:tabs>
                <w:tab w:val="clear" w:pos="757"/>
              </w:tabs>
              <w:ind w:left="360"/>
              <w:rPr>
                <w:sz w:val="22"/>
                <w:szCs w:val="22"/>
              </w:rPr>
            </w:pPr>
            <w:r w:rsidRPr="00181AB0">
              <w:rPr>
                <w:sz w:val="22"/>
                <w:szCs w:val="22"/>
              </w:rPr>
              <w:t>The post holder is required to have effective working relationships with NSS Board Executive Directors to ensure that existing cross divisional programmes of work are effectively planned and managed, that opportunities for collaboration are fully explored and that resources required from other areas of NSS can be utilised to maximise effectiveness and value for money.</w:t>
            </w:r>
          </w:p>
          <w:p w:rsidR="00181AB0" w:rsidRPr="00181AB0" w:rsidRDefault="00181AB0" w:rsidP="00181AB0">
            <w:pPr>
              <w:pStyle w:val="Normal2"/>
              <w:spacing w:before="0"/>
              <w:jc w:val="left"/>
              <w:rPr>
                <w:rFonts w:ascii="Arial" w:hAnsi="Arial" w:cs="Arial"/>
                <w:sz w:val="22"/>
                <w:szCs w:val="22"/>
              </w:rPr>
            </w:pPr>
          </w:p>
          <w:p w:rsidR="00181AB0" w:rsidRPr="00181AB0" w:rsidRDefault="00181AB0" w:rsidP="00181AB0">
            <w:pPr>
              <w:pStyle w:val="Normal2"/>
              <w:spacing w:before="0"/>
              <w:jc w:val="left"/>
              <w:rPr>
                <w:rFonts w:ascii="Arial" w:hAnsi="Arial" w:cs="Arial"/>
                <w:sz w:val="22"/>
                <w:szCs w:val="22"/>
                <w:u w:val="single"/>
              </w:rPr>
            </w:pPr>
            <w:r w:rsidRPr="00181AB0">
              <w:rPr>
                <w:rFonts w:ascii="Arial" w:hAnsi="Arial" w:cs="Arial"/>
                <w:sz w:val="22"/>
                <w:szCs w:val="22"/>
                <w:u w:val="single"/>
              </w:rPr>
              <w:t>External</w:t>
            </w:r>
          </w:p>
          <w:p w:rsidR="00181AB0" w:rsidRPr="00181AB0" w:rsidRDefault="00181AB0" w:rsidP="00181AB0">
            <w:pPr>
              <w:numPr>
                <w:ilvl w:val="0"/>
                <w:numId w:val="3"/>
              </w:numPr>
              <w:rPr>
                <w:sz w:val="22"/>
                <w:szCs w:val="22"/>
              </w:rPr>
            </w:pPr>
            <w:r w:rsidRPr="00181AB0">
              <w:rPr>
                <w:sz w:val="22"/>
                <w:szCs w:val="22"/>
              </w:rPr>
              <w:t>The post holder is required to build effective working relationships with a wide range of external stakeholders, in line with the divisional customer engagement strategy and plan, including Scottish Government Directors and Divisional Heads, NHS Board eHealth Directors, Local Authority Directors, senior clinicians and heads of other partner organisations such as Audit Scotland.  These relationships are essential to ensure that existing products and services are meeting stakeholder requirements, are fully funded and that proposals for new work are fully discussed, resources negotiated and future strategies developed.  In addition a key role of the post holder is to establish effective partnership working with representatives from a range of professional and staff side bodies.</w:t>
            </w:r>
          </w:p>
          <w:p w:rsidR="00181AB0" w:rsidRPr="00181AB0" w:rsidRDefault="00181AB0" w:rsidP="00181AB0">
            <w:pPr>
              <w:numPr>
                <w:ilvl w:val="0"/>
                <w:numId w:val="3"/>
              </w:numPr>
              <w:rPr>
                <w:sz w:val="22"/>
                <w:szCs w:val="22"/>
              </w:rPr>
            </w:pPr>
            <w:r w:rsidRPr="00181AB0">
              <w:rPr>
                <w:sz w:val="22"/>
                <w:szCs w:val="22"/>
              </w:rPr>
              <w:t>The post-holder is required to maintain effective senior level relationships with executive management of current and potential suppliers of national level IT systems and services to NHS Scotland and associated agencies.</w:t>
            </w:r>
          </w:p>
          <w:p w:rsidR="00181AB0" w:rsidRPr="00181AB0" w:rsidRDefault="00181AB0" w:rsidP="00181AB0">
            <w:pPr>
              <w:numPr>
                <w:ilvl w:val="0"/>
                <w:numId w:val="3"/>
              </w:numPr>
              <w:rPr>
                <w:sz w:val="22"/>
                <w:szCs w:val="22"/>
              </w:rPr>
            </w:pPr>
            <w:r w:rsidRPr="00181AB0">
              <w:rPr>
                <w:sz w:val="22"/>
                <w:szCs w:val="22"/>
              </w:rPr>
              <w:t>The post-holder is required to chair / attend national groups relative to specific projects e.g. National eHealth Programme Board, National eHealth Leads Form, eHealth Portfolio Management Groups and many national level contract, vendor, service and project management Boards.</w:t>
            </w:r>
          </w:p>
          <w:p w:rsidR="00181AB0" w:rsidRPr="0016008A" w:rsidRDefault="00181AB0" w:rsidP="00181AB0">
            <w:pPr>
              <w:spacing w:before="120"/>
              <w:rPr>
                <w:b/>
                <w:sz w:val="22"/>
                <w:szCs w:val="22"/>
              </w:rPr>
            </w:pPr>
            <w:r w:rsidRPr="00181AB0">
              <w:rPr>
                <w:sz w:val="22"/>
                <w:szCs w:val="22"/>
              </w:rPr>
              <w:t xml:space="preserve">Excellent written and oral communication skills are required since the post holder will be required to </w:t>
            </w:r>
            <w:r w:rsidRPr="00181AB0">
              <w:rPr>
                <w:sz w:val="22"/>
                <w:szCs w:val="22"/>
              </w:rPr>
              <w:lastRenderedPageBreak/>
              <w:t>present proposals, persuade stakeholders to invest and fund projects and explain highly complex technical topics in a way that can be understood by non technical or lay audience.  Key elements include attending and presenting at workshops, conferences and meetings; representing IT SBU  on national strategy groups and debating policy and strategy relating to IM&amp;T developments; newsletters and a website that presents information re national level IM&amp;T solutions, archived newsletters and status reports.  This will include responding to media enquiries and dealing with representatives from political parties if required.</w:t>
            </w:r>
            <w:r w:rsidRPr="00043A3B">
              <w:rPr>
                <w:sz w:val="22"/>
                <w:szCs w:val="22"/>
              </w:rPr>
              <w:t xml:space="preserve"> </w:t>
            </w:r>
          </w:p>
        </w:tc>
      </w:tr>
      <w:tr w:rsidR="000B206D">
        <w:tc>
          <w:tcPr>
            <w:tcW w:w="10456" w:type="dxa"/>
            <w:tcBorders>
              <w:left w:val="single" w:sz="6" w:space="0" w:color="auto"/>
              <w:bottom w:val="single" w:sz="6" w:space="0" w:color="auto"/>
              <w:right w:val="single" w:sz="6" w:space="0" w:color="auto"/>
            </w:tcBorders>
          </w:tcPr>
          <w:p w:rsidR="000B206D" w:rsidRPr="00043A3B" w:rsidRDefault="000B206D" w:rsidP="00181AB0">
            <w:pPr>
              <w:rPr>
                <w:sz w:val="22"/>
                <w:szCs w:val="22"/>
              </w:rPr>
            </w:pPr>
          </w:p>
        </w:tc>
      </w:tr>
    </w:tbl>
    <w:p w:rsidR="000B206D" w:rsidRDefault="000B206D" w:rsidP="000B206D"/>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56"/>
      </w:tblGrid>
      <w:tr w:rsidR="000B206D">
        <w:trPr>
          <w:trHeight w:val="454"/>
        </w:trPr>
        <w:tc>
          <w:tcPr>
            <w:tcW w:w="10456" w:type="dxa"/>
            <w:tcBorders>
              <w:top w:val="single" w:sz="6" w:space="0" w:color="auto"/>
              <w:left w:val="single" w:sz="6" w:space="0" w:color="auto"/>
              <w:right w:val="single" w:sz="6" w:space="0" w:color="auto"/>
            </w:tcBorders>
          </w:tcPr>
          <w:p w:rsidR="000B206D" w:rsidRPr="00DC6D2A" w:rsidRDefault="000B206D" w:rsidP="000B206D">
            <w:pPr>
              <w:spacing w:before="120"/>
              <w:rPr>
                <w:b/>
                <w:sz w:val="22"/>
                <w:szCs w:val="22"/>
              </w:rPr>
            </w:pPr>
            <w:r w:rsidRPr="00DC6D2A">
              <w:rPr>
                <w:b/>
                <w:sz w:val="22"/>
                <w:szCs w:val="22"/>
              </w:rPr>
              <w:t>9.   MOST CHALLENGING PARTS OF THE JOB</w:t>
            </w:r>
          </w:p>
        </w:tc>
      </w:tr>
      <w:tr w:rsidR="000B206D">
        <w:tc>
          <w:tcPr>
            <w:tcW w:w="10456" w:type="dxa"/>
            <w:tcBorders>
              <w:left w:val="single" w:sz="6" w:space="0" w:color="auto"/>
              <w:bottom w:val="single" w:sz="6" w:space="0" w:color="auto"/>
              <w:right w:val="single" w:sz="6" w:space="0" w:color="auto"/>
            </w:tcBorders>
          </w:tcPr>
          <w:p w:rsidR="000B206D" w:rsidRPr="00810DAA" w:rsidRDefault="000B206D" w:rsidP="00181AB0">
            <w:pPr>
              <w:rPr>
                <w:sz w:val="22"/>
                <w:szCs w:val="22"/>
              </w:rPr>
            </w:pPr>
            <w:r w:rsidRPr="00FE232A">
              <w:rPr>
                <w:sz w:val="22"/>
                <w:szCs w:val="22"/>
              </w:rPr>
              <w:t xml:space="preserve">Build a culture of quality, continuous improvement and development that ensures the </w:t>
            </w:r>
            <w:r>
              <w:rPr>
                <w:sz w:val="22"/>
                <w:szCs w:val="22"/>
              </w:rPr>
              <w:t>IM&amp;T</w:t>
            </w:r>
            <w:r w:rsidRPr="00FE232A">
              <w:rPr>
                <w:sz w:val="22"/>
                <w:szCs w:val="22"/>
              </w:rPr>
              <w:t xml:space="preserve"> products and services are not just fit for purpose but</w:t>
            </w:r>
            <w:r>
              <w:rPr>
                <w:sz w:val="22"/>
                <w:szCs w:val="22"/>
              </w:rPr>
              <w:t xml:space="preserve"> demonstrate value for money and</w:t>
            </w:r>
            <w:r w:rsidRPr="00FE232A">
              <w:rPr>
                <w:sz w:val="22"/>
                <w:szCs w:val="22"/>
              </w:rPr>
              <w:t xml:space="preserve"> develop in line with the demands of stakeholders, changes in models of service delivery, exploit technological advances and anticipate future needs, within the constraints of time, resources and workforce skills.</w:t>
            </w:r>
          </w:p>
          <w:p w:rsidR="000B206D" w:rsidRDefault="000B206D" w:rsidP="00181AB0">
            <w:pPr>
              <w:ind w:right="72"/>
              <w:rPr>
                <w:sz w:val="22"/>
                <w:szCs w:val="22"/>
              </w:rPr>
            </w:pPr>
          </w:p>
          <w:p w:rsidR="000B206D" w:rsidRPr="00DC6D2A" w:rsidRDefault="000B206D" w:rsidP="00181AB0">
            <w:pPr>
              <w:pStyle w:val="Normal2"/>
              <w:spacing w:before="0"/>
              <w:jc w:val="left"/>
              <w:rPr>
                <w:sz w:val="22"/>
                <w:szCs w:val="22"/>
              </w:rPr>
            </w:pPr>
            <w:r>
              <w:rPr>
                <w:rFonts w:ascii="Arial" w:hAnsi="Arial" w:cs="Arial"/>
                <w:sz w:val="22"/>
                <w:szCs w:val="22"/>
              </w:rPr>
              <w:t xml:space="preserve">Deliver complex change programmes which may impact on ways of working with stakeholder organisations and IT SBU   Influence and reach agreement where there may be strong differences of opinion across stakeholder </w:t>
            </w:r>
            <w:r w:rsidRPr="002F0618">
              <w:rPr>
                <w:rFonts w:ascii="Arial" w:hAnsi="Arial" w:cs="Arial"/>
                <w:sz w:val="22"/>
                <w:szCs w:val="22"/>
              </w:rPr>
              <w:t>groups including service suppliers about</w:t>
            </w:r>
            <w:r>
              <w:rPr>
                <w:rFonts w:ascii="Arial" w:hAnsi="Arial" w:cs="Arial"/>
                <w:sz w:val="22"/>
                <w:szCs w:val="22"/>
              </w:rPr>
              <w:t xml:space="preserve"> the development of specific products and services.</w:t>
            </w:r>
          </w:p>
        </w:tc>
      </w:tr>
    </w:tbl>
    <w:p w:rsidR="000B206D" w:rsidRDefault="000B206D" w:rsidP="000B206D">
      <w:pPr>
        <w:spacing w:before="120"/>
      </w:pPr>
    </w:p>
    <w:tbl>
      <w:tblPr>
        <w:tblW w:w="1045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0456"/>
      </w:tblGrid>
      <w:tr w:rsidR="000B206D" w:rsidRPr="00DC6D2A">
        <w:trPr>
          <w:trHeight w:val="454"/>
        </w:trPr>
        <w:tc>
          <w:tcPr>
            <w:tcW w:w="10456" w:type="dxa"/>
            <w:tcBorders>
              <w:top w:val="single" w:sz="6" w:space="0" w:color="auto"/>
              <w:left w:val="single" w:sz="6" w:space="0" w:color="auto"/>
              <w:right w:val="single" w:sz="6" w:space="0" w:color="auto"/>
            </w:tcBorders>
          </w:tcPr>
          <w:p w:rsidR="000B206D" w:rsidRPr="00DC6D2A" w:rsidRDefault="000B206D" w:rsidP="000B206D">
            <w:pPr>
              <w:spacing w:before="120"/>
              <w:rPr>
                <w:b/>
                <w:sz w:val="22"/>
                <w:szCs w:val="22"/>
              </w:rPr>
            </w:pPr>
            <w:r w:rsidRPr="00DC6D2A">
              <w:rPr>
                <w:b/>
                <w:sz w:val="22"/>
                <w:szCs w:val="22"/>
              </w:rPr>
              <w:t>10.   SYSTEMS</w:t>
            </w:r>
            <w:r>
              <w:rPr>
                <w:b/>
                <w:sz w:val="22"/>
                <w:szCs w:val="22"/>
              </w:rPr>
              <w:t xml:space="preserve"> </w:t>
            </w:r>
          </w:p>
        </w:tc>
      </w:tr>
      <w:tr w:rsidR="000B206D" w:rsidRPr="00DC6D2A">
        <w:tc>
          <w:tcPr>
            <w:tcW w:w="10456" w:type="dxa"/>
            <w:tcBorders>
              <w:left w:val="single" w:sz="6" w:space="0" w:color="auto"/>
              <w:bottom w:val="single" w:sz="6" w:space="0" w:color="auto"/>
              <w:right w:val="single" w:sz="6" w:space="0" w:color="auto"/>
            </w:tcBorders>
          </w:tcPr>
          <w:p w:rsidR="000B206D" w:rsidRPr="002F0618" w:rsidRDefault="000B206D" w:rsidP="00181AB0">
            <w:pPr>
              <w:pStyle w:val="BodyText2"/>
              <w:jc w:val="left"/>
              <w:rPr>
                <w:sz w:val="22"/>
                <w:szCs w:val="22"/>
              </w:rPr>
            </w:pPr>
            <w:r w:rsidRPr="002F0618">
              <w:rPr>
                <w:sz w:val="22"/>
                <w:szCs w:val="22"/>
              </w:rPr>
              <w:t>The post holder is responsible for all aspects of three of the seven IT SBU services. That is: “Architecture &amp; Consulting”; “Solutions Design, Development, Integration and Maintenance”; and “National Solutions Accreditation and Testing”. As such the post holder has corporate responsibility for :</w:t>
            </w:r>
          </w:p>
          <w:p w:rsidR="000B206D" w:rsidRPr="002F0618" w:rsidRDefault="000B206D" w:rsidP="00181AB0">
            <w:pPr>
              <w:pStyle w:val="BodyText2"/>
              <w:jc w:val="left"/>
              <w:rPr>
                <w:sz w:val="22"/>
                <w:szCs w:val="22"/>
              </w:rPr>
            </w:pPr>
          </w:p>
          <w:p w:rsidR="000B206D" w:rsidRPr="002F0618" w:rsidRDefault="000B206D" w:rsidP="00181AB0">
            <w:pPr>
              <w:pStyle w:val="BodyText2"/>
              <w:numPr>
                <w:ilvl w:val="0"/>
                <w:numId w:val="7"/>
              </w:numPr>
              <w:jc w:val="left"/>
              <w:rPr>
                <w:sz w:val="22"/>
                <w:szCs w:val="22"/>
              </w:rPr>
            </w:pPr>
            <w:r w:rsidRPr="002F0618">
              <w:rPr>
                <w:sz w:val="22"/>
                <w:szCs w:val="22"/>
              </w:rPr>
              <w:t xml:space="preserve">The design, development, support, and operation of a number of National level software applications of critical importance to NHSScotland these include SCI Gateway, </w:t>
            </w:r>
            <w:proofErr w:type="spellStart"/>
            <w:r w:rsidRPr="002F0618">
              <w:rPr>
                <w:sz w:val="22"/>
                <w:szCs w:val="22"/>
              </w:rPr>
              <w:t>eLinks</w:t>
            </w:r>
            <w:proofErr w:type="spellEnd"/>
            <w:r w:rsidRPr="002F0618">
              <w:rPr>
                <w:sz w:val="22"/>
                <w:szCs w:val="22"/>
              </w:rPr>
              <w:t xml:space="preserve">, and SHOW. </w:t>
            </w:r>
          </w:p>
          <w:p w:rsidR="000B206D" w:rsidRPr="002F0618" w:rsidRDefault="000B206D" w:rsidP="00181AB0">
            <w:pPr>
              <w:pStyle w:val="BodyText2"/>
              <w:jc w:val="left"/>
              <w:rPr>
                <w:sz w:val="22"/>
                <w:szCs w:val="22"/>
              </w:rPr>
            </w:pPr>
          </w:p>
          <w:p w:rsidR="000B206D" w:rsidRPr="002F0618" w:rsidRDefault="000B206D" w:rsidP="00181AB0">
            <w:pPr>
              <w:pStyle w:val="BodyText2"/>
              <w:numPr>
                <w:ilvl w:val="0"/>
                <w:numId w:val="7"/>
              </w:numPr>
              <w:jc w:val="left"/>
              <w:rPr>
                <w:sz w:val="22"/>
                <w:szCs w:val="22"/>
              </w:rPr>
            </w:pPr>
            <w:r w:rsidRPr="002F0618">
              <w:rPr>
                <w:sz w:val="22"/>
                <w:szCs w:val="22"/>
              </w:rPr>
              <w:t xml:space="preserve">Identification, development and provision of integration services that are fundamental to the viable operation of a number of national and local NHSScotland clinical, finance and administration applications including; eESS, PECOS, GP payments, CHI, ECS, SCI Store, and Clinical portal. </w:t>
            </w:r>
          </w:p>
          <w:p w:rsidR="000B206D" w:rsidRPr="002F0618" w:rsidRDefault="000B206D" w:rsidP="00181AB0">
            <w:pPr>
              <w:pStyle w:val="BodyText2"/>
              <w:jc w:val="left"/>
              <w:rPr>
                <w:sz w:val="22"/>
                <w:szCs w:val="22"/>
              </w:rPr>
            </w:pPr>
          </w:p>
          <w:p w:rsidR="000B206D" w:rsidRPr="002F0618" w:rsidRDefault="000B206D" w:rsidP="00181AB0">
            <w:pPr>
              <w:pStyle w:val="BodyText2"/>
              <w:numPr>
                <w:ilvl w:val="0"/>
                <w:numId w:val="7"/>
              </w:numPr>
              <w:jc w:val="left"/>
              <w:rPr>
                <w:sz w:val="22"/>
                <w:szCs w:val="22"/>
              </w:rPr>
            </w:pPr>
            <w:r w:rsidRPr="002F0618">
              <w:rPr>
                <w:sz w:val="22"/>
                <w:szCs w:val="22"/>
              </w:rPr>
              <w:t xml:space="preserve">Provision of the NSS corporate and SBU information and reporting infrastructure, tools, resource, and management. </w:t>
            </w:r>
          </w:p>
          <w:p w:rsidR="000B206D" w:rsidRPr="002F0618" w:rsidRDefault="000B206D" w:rsidP="00181AB0">
            <w:pPr>
              <w:pStyle w:val="BodyText2"/>
              <w:ind w:firstLine="60"/>
              <w:jc w:val="left"/>
              <w:rPr>
                <w:sz w:val="22"/>
                <w:szCs w:val="22"/>
              </w:rPr>
            </w:pPr>
          </w:p>
          <w:p w:rsidR="000B206D" w:rsidRPr="002F0618" w:rsidRDefault="000B206D" w:rsidP="00181AB0">
            <w:pPr>
              <w:pStyle w:val="BodyText2"/>
              <w:numPr>
                <w:ilvl w:val="0"/>
                <w:numId w:val="7"/>
              </w:numPr>
              <w:jc w:val="left"/>
              <w:rPr>
                <w:sz w:val="22"/>
                <w:szCs w:val="22"/>
              </w:rPr>
            </w:pPr>
            <w:r w:rsidRPr="002F0618">
              <w:rPr>
                <w:sz w:val="22"/>
                <w:szCs w:val="22"/>
              </w:rPr>
              <w:t xml:space="preserve">Development, and subsequent operation of, new Business IT applications and services to meet opportunity and demand from internal (NSS SBU) and external (NHS and non NHS) existing and new customers. </w:t>
            </w:r>
          </w:p>
          <w:p w:rsidR="000B206D" w:rsidRPr="002F0618" w:rsidRDefault="000B206D" w:rsidP="00181AB0">
            <w:pPr>
              <w:pStyle w:val="ListParagraph"/>
              <w:rPr>
                <w:sz w:val="22"/>
                <w:szCs w:val="22"/>
              </w:rPr>
            </w:pPr>
          </w:p>
          <w:p w:rsidR="000B206D" w:rsidRPr="002F0618" w:rsidRDefault="000B206D" w:rsidP="00181AB0">
            <w:pPr>
              <w:numPr>
                <w:ilvl w:val="0"/>
                <w:numId w:val="7"/>
              </w:numPr>
              <w:rPr>
                <w:sz w:val="22"/>
                <w:szCs w:val="22"/>
              </w:rPr>
            </w:pPr>
            <w:r w:rsidRPr="002F0618">
              <w:rPr>
                <w:sz w:val="22"/>
                <w:szCs w:val="22"/>
              </w:rPr>
              <w:t>Establishment of a viable Enterprise Architecture (business, Information, and technical) for NSS that includes; standards, process, governance and staffing (skills and resource) arrangements to maximise the Health and Fi</w:t>
            </w:r>
            <w:r>
              <w:rPr>
                <w:sz w:val="22"/>
                <w:szCs w:val="22"/>
              </w:rPr>
              <w:t>n</w:t>
            </w:r>
            <w:r w:rsidRPr="002F0618">
              <w:rPr>
                <w:sz w:val="22"/>
                <w:szCs w:val="22"/>
              </w:rPr>
              <w:t xml:space="preserve">ance impact of the </w:t>
            </w:r>
            <w:r>
              <w:rPr>
                <w:sz w:val="22"/>
                <w:szCs w:val="22"/>
              </w:rPr>
              <w:t xml:space="preserve">IM&amp;T </w:t>
            </w:r>
            <w:r w:rsidRPr="002F0618">
              <w:rPr>
                <w:sz w:val="22"/>
                <w:szCs w:val="22"/>
              </w:rPr>
              <w:t xml:space="preserve">spend in NSS. </w:t>
            </w:r>
          </w:p>
          <w:p w:rsidR="000B206D" w:rsidRPr="002F0618" w:rsidRDefault="000B206D" w:rsidP="00181AB0">
            <w:pPr>
              <w:rPr>
                <w:sz w:val="22"/>
                <w:szCs w:val="22"/>
                <w:highlight w:val="yellow"/>
              </w:rPr>
            </w:pPr>
          </w:p>
          <w:p w:rsidR="000B206D" w:rsidRPr="002F0618" w:rsidRDefault="000B206D" w:rsidP="00181AB0">
            <w:pPr>
              <w:rPr>
                <w:sz w:val="22"/>
                <w:szCs w:val="22"/>
              </w:rPr>
            </w:pPr>
            <w:r w:rsidRPr="002F0618">
              <w:rPr>
                <w:sz w:val="22"/>
                <w:szCs w:val="22"/>
              </w:rPr>
              <w:t xml:space="preserve">Use of NSS financial reporting systems to monitor budgets and to provide transparency of national level IT spending to Scottish Government and eHealth governance groups across </w:t>
            </w:r>
            <w:smartTag w:uri="urn:schemas-microsoft-com:office:smarttags" w:element="country-region">
              <w:smartTag w:uri="urn:schemas-microsoft-com:office:smarttags" w:element="place">
                <w:r w:rsidRPr="002F0618">
                  <w:rPr>
                    <w:sz w:val="22"/>
                    <w:szCs w:val="22"/>
                  </w:rPr>
                  <w:t>Scotland</w:t>
                </w:r>
              </w:smartTag>
            </w:smartTag>
            <w:r w:rsidRPr="002F0618">
              <w:rPr>
                <w:sz w:val="22"/>
                <w:szCs w:val="22"/>
              </w:rPr>
              <w:t xml:space="preserve">. </w:t>
            </w:r>
          </w:p>
          <w:p w:rsidR="000B206D" w:rsidRPr="002F0618" w:rsidRDefault="000B206D" w:rsidP="00181AB0">
            <w:pPr>
              <w:rPr>
                <w:sz w:val="22"/>
                <w:szCs w:val="22"/>
              </w:rPr>
            </w:pPr>
          </w:p>
          <w:p w:rsidR="000B206D" w:rsidRPr="00DC6D2A" w:rsidRDefault="000B206D" w:rsidP="00181AB0">
            <w:pPr>
              <w:rPr>
                <w:b/>
                <w:sz w:val="22"/>
                <w:szCs w:val="22"/>
              </w:rPr>
            </w:pPr>
            <w:r w:rsidRPr="002F0618">
              <w:rPr>
                <w:sz w:val="22"/>
                <w:szCs w:val="22"/>
              </w:rPr>
              <w:t>Ensure staff work, store and transmit data in accordance with data protection, freedom of information and confidentiality principles.</w:t>
            </w:r>
          </w:p>
        </w:tc>
      </w:tr>
    </w:tbl>
    <w:p w:rsidR="000B206D" w:rsidRDefault="000B206D" w:rsidP="000B206D"/>
    <w:p w:rsidR="000B206D" w:rsidRDefault="000B206D" w:rsidP="000B206D"/>
    <w:tbl>
      <w:tblPr>
        <w:tblW w:w="105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98"/>
      </w:tblGrid>
      <w:tr w:rsidR="000B206D">
        <w:trPr>
          <w:trHeight w:val="454"/>
        </w:trPr>
        <w:tc>
          <w:tcPr>
            <w:tcW w:w="10598" w:type="dxa"/>
            <w:tcBorders>
              <w:top w:val="single" w:sz="6" w:space="0" w:color="auto"/>
              <w:left w:val="single" w:sz="6" w:space="0" w:color="auto"/>
              <w:right w:val="single" w:sz="6" w:space="0" w:color="auto"/>
            </w:tcBorders>
          </w:tcPr>
          <w:p w:rsidR="00181AB0" w:rsidRPr="00181AB0" w:rsidRDefault="000B206D" w:rsidP="00181AB0">
            <w:pPr>
              <w:pStyle w:val="ListParagraph"/>
              <w:numPr>
                <w:ilvl w:val="0"/>
                <w:numId w:val="1"/>
              </w:numPr>
              <w:spacing w:before="120"/>
              <w:rPr>
                <w:b/>
                <w:sz w:val="22"/>
                <w:szCs w:val="22"/>
              </w:rPr>
            </w:pPr>
            <w:r w:rsidRPr="00181AB0">
              <w:rPr>
                <w:b/>
                <w:sz w:val="22"/>
                <w:szCs w:val="22"/>
              </w:rPr>
              <w:lastRenderedPageBreak/>
              <w:t>PHYSICAL, MENTAL, EMOTIONAL EFFORT</w:t>
            </w:r>
          </w:p>
        </w:tc>
      </w:tr>
      <w:tr w:rsidR="000B206D">
        <w:tc>
          <w:tcPr>
            <w:tcW w:w="10598" w:type="dxa"/>
            <w:tcBorders>
              <w:left w:val="single" w:sz="6" w:space="0" w:color="auto"/>
              <w:bottom w:val="single" w:sz="6" w:space="0" w:color="auto"/>
              <w:right w:val="single" w:sz="6" w:space="0" w:color="auto"/>
            </w:tcBorders>
          </w:tcPr>
          <w:p w:rsidR="000B206D" w:rsidRPr="00582E0F" w:rsidRDefault="000B206D" w:rsidP="00181AB0">
            <w:pPr>
              <w:rPr>
                <w:b/>
                <w:sz w:val="22"/>
                <w:szCs w:val="22"/>
              </w:rPr>
            </w:pPr>
            <w:r w:rsidRPr="00582E0F">
              <w:rPr>
                <w:b/>
                <w:sz w:val="22"/>
                <w:szCs w:val="22"/>
              </w:rPr>
              <w:t xml:space="preserve">Physical Effort:  </w:t>
            </w:r>
          </w:p>
          <w:p w:rsidR="000B206D" w:rsidRPr="00582E0F" w:rsidRDefault="000B206D" w:rsidP="00181AB0">
            <w:pPr>
              <w:rPr>
                <w:sz w:val="22"/>
                <w:szCs w:val="22"/>
              </w:rPr>
            </w:pPr>
            <w:r w:rsidRPr="00582E0F">
              <w:rPr>
                <w:sz w:val="22"/>
                <w:szCs w:val="22"/>
              </w:rPr>
              <w:t xml:space="preserve">Frequent requirement for sitting at a key board e.g.- 2-3 hours at a time with (appropriate breaks).  </w:t>
            </w:r>
            <w:r w:rsidRPr="00582E0F">
              <w:rPr>
                <w:iCs/>
                <w:sz w:val="22"/>
                <w:szCs w:val="22"/>
              </w:rPr>
              <w:t>Requirement to carry heavy equipment to internal and external meetings (e.g. laptop and/or projector).  Frequent travel required which may include driving between 2 and 3 hours; also travel by train and by air.</w:t>
            </w:r>
          </w:p>
          <w:p w:rsidR="000B206D" w:rsidRPr="00582E0F" w:rsidRDefault="000B206D" w:rsidP="00181AB0">
            <w:pPr>
              <w:rPr>
                <w:sz w:val="22"/>
                <w:szCs w:val="22"/>
              </w:rPr>
            </w:pPr>
          </w:p>
          <w:p w:rsidR="000B206D" w:rsidRPr="00582E0F" w:rsidRDefault="000B206D" w:rsidP="00181AB0">
            <w:pPr>
              <w:rPr>
                <w:sz w:val="22"/>
                <w:szCs w:val="22"/>
              </w:rPr>
            </w:pPr>
            <w:r w:rsidRPr="00582E0F">
              <w:rPr>
                <w:b/>
                <w:sz w:val="22"/>
                <w:szCs w:val="22"/>
              </w:rPr>
              <w:t>Mental Effort</w:t>
            </w:r>
            <w:r w:rsidRPr="00582E0F">
              <w:rPr>
                <w:sz w:val="22"/>
                <w:szCs w:val="22"/>
              </w:rPr>
              <w:t>:</w:t>
            </w:r>
          </w:p>
          <w:p w:rsidR="000B206D" w:rsidRPr="00125783" w:rsidRDefault="000B206D" w:rsidP="00181AB0">
            <w:pPr>
              <w:rPr>
                <w:sz w:val="22"/>
                <w:szCs w:val="22"/>
              </w:rPr>
            </w:pPr>
            <w:r w:rsidRPr="00125783">
              <w:rPr>
                <w:sz w:val="22"/>
                <w:szCs w:val="22"/>
              </w:rPr>
              <w:t xml:space="preserve">Strong element of unpredictability in working day.  The ability to make sound judgements, deal with unpredictable interruptions and meet deadlines, using own initiative.  Requirement for post-holder to change from one task to another, prioritising effectively and adjusting plans </w:t>
            </w:r>
          </w:p>
          <w:p w:rsidR="000B206D" w:rsidRPr="00FF7B37" w:rsidRDefault="000B206D" w:rsidP="00181AB0">
            <w:pPr>
              <w:rPr>
                <w:sz w:val="22"/>
                <w:szCs w:val="22"/>
                <w:highlight w:val="magenta"/>
              </w:rPr>
            </w:pPr>
          </w:p>
          <w:p w:rsidR="000B206D" w:rsidRPr="002F0618" w:rsidRDefault="000B206D" w:rsidP="00181AB0">
            <w:pPr>
              <w:rPr>
                <w:sz w:val="22"/>
                <w:szCs w:val="22"/>
              </w:rPr>
            </w:pPr>
            <w:r w:rsidRPr="002F0618">
              <w:rPr>
                <w:sz w:val="22"/>
                <w:szCs w:val="22"/>
              </w:rPr>
              <w:t xml:space="preserve">Substantial mental effort required in terms of problem solving, juggling demands, and negotiating and influencing senior, Executive level customers and service suppliers for prolonged periods of time in respect of competing priorities and conflicting commercial considerations. </w:t>
            </w:r>
          </w:p>
          <w:p w:rsidR="000B206D" w:rsidRPr="002F0618" w:rsidRDefault="000B206D" w:rsidP="00181AB0">
            <w:pPr>
              <w:rPr>
                <w:sz w:val="22"/>
                <w:szCs w:val="22"/>
                <w:highlight w:val="magenta"/>
              </w:rPr>
            </w:pPr>
          </w:p>
          <w:p w:rsidR="000B206D" w:rsidRPr="002F0618" w:rsidRDefault="000B206D" w:rsidP="00181AB0">
            <w:pPr>
              <w:rPr>
                <w:sz w:val="22"/>
                <w:szCs w:val="22"/>
              </w:rPr>
            </w:pPr>
            <w:r w:rsidRPr="002F0618">
              <w:rPr>
                <w:sz w:val="22"/>
                <w:szCs w:val="22"/>
              </w:rPr>
              <w:t>Sustained concentration, 6-8 hours at a time required to create and review complex analyses and reports.</w:t>
            </w:r>
          </w:p>
          <w:p w:rsidR="000B206D" w:rsidRPr="002F0618" w:rsidRDefault="000B206D" w:rsidP="00181AB0">
            <w:pPr>
              <w:rPr>
                <w:sz w:val="22"/>
                <w:szCs w:val="22"/>
              </w:rPr>
            </w:pPr>
            <w:r w:rsidRPr="002F0618">
              <w:rPr>
                <w:sz w:val="22"/>
                <w:szCs w:val="22"/>
              </w:rPr>
              <w:t>Frequently required to work to tight deadlines.</w:t>
            </w:r>
          </w:p>
          <w:p w:rsidR="000B206D" w:rsidRPr="002F0618" w:rsidRDefault="000B206D" w:rsidP="00181AB0">
            <w:pPr>
              <w:rPr>
                <w:sz w:val="22"/>
                <w:szCs w:val="22"/>
              </w:rPr>
            </w:pPr>
          </w:p>
          <w:p w:rsidR="000B206D" w:rsidRPr="002F0618" w:rsidRDefault="000B206D" w:rsidP="00181AB0">
            <w:pPr>
              <w:rPr>
                <w:sz w:val="22"/>
                <w:szCs w:val="22"/>
              </w:rPr>
            </w:pPr>
            <w:r w:rsidRPr="002F0618">
              <w:rPr>
                <w:sz w:val="22"/>
                <w:szCs w:val="22"/>
              </w:rPr>
              <w:t xml:space="preserve">Ability to sustain mental effort and attention required to chair strategic working groups, ensuring discussions remain focussed and balance of views extracted. </w:t>
            </w:r>
          </w:p>
          <w:p w:rsidR="000B206D" w:rsidRPr="002F0618" w:rsidRDefault="000B206D" w:rsidP="00181AB0">
            <w:pPr>
              <w:rPr>
                <w:sz w:val="22"/>
                <w:szCs w:val="22"/>
                <w:highlight w:val="magenta"/>
              </w:rPr>
            </w:pPr>
          </w:p>
          <w:p w:rsidR="000B206D" w:rsidRPr="002F0618" w:rsidRDefault="000B206D" w:rsidP="00181AB0">
            <w:pPr>
              <w:rPr>
                <w:sz w:val="22"/>
                <w:szCs w:val="22"/>
              </w:rPr>
            </w:pPr>
            <w:r w:rsidRPr="002F0618">
              <w:rPr>
                <w:sz w:val="22"/>
                <w:szCs w:val="22"/>
              </w:rPr>
              <w:t>Regular requirement to develop, deliver and debate presentations to senior management, senior clinicians, and IM&amp;T professionals.</w:t>
            </w:r>
          </w:p>
          <w:p w:rsidR="000B206D" w:rsidRPr="002F0618" w:rsidRDefault="000B206D" w:rsidP="00181AB0">
            <w:pPr>
              <w:rPr>
                <w:sz w:val="22"/>
                <w:szCs w:val="22"/>
              </w:rPr>
            </w:pPr>
          </w:p>
          <w:p w:rsidR="000B206D" w:rsidRPr="00582E0F" w:rsidRDefault="000B206D" w:rsidP="00181AB0">
            <w:pPr>
              <w:rPr>
                <w:sz w:val="22"/>
                <w:szCs w:val="22"/>
              </w:rPr>
            </w:pPr>
            <w:r w:rsidRPr="002F0618">
              <w:rPr>
                <w:sz w:val="22"/>
                <w:szCs w:val="22"/>
              </w:rPr>
              <w:t>Ability to quickly assess customer requirements and mentally associate these with current or emerging statistical/information methodologies</w:t>
            </w:r>
            <w:r w:rsidRPr="00125783">
              <w:rPr>
                <w:sz w:val="22"/>
                <w:szCs w:val="22"/>
              </w:rPr>
              <w:t>.</w:t>
            </w:r>
          </w:p>
          <w:p w:rsidR="000B206D" w:rsidRPr="00582E0F" w:rsidRDefault="000B206D" w:rsidP="00181AB0">
            <w:pPr>
              <w:rPr>
                <w:sz w:val="22"/>
                <w:szCs w:val="22"/>
              </w:rPr>
            </w:pPr>
          </w:p>
          <w:p w:rsidR="000B206D" w:rsidRPr="00582E0F" w:rsidRDefault="000B206D" w:rsidP="00181AB0">
            <w:pPr>
              <w:rPr>
                <w:b/>
                <w:sz w:val="22"/>
                <w:szCs w:val="22"/>
              </w:rPr>
            </w:pPr>
            <w:r w:rsidRPr="00582E0F">
              <w:rPr>
                <w:b/>
                <w:sz w:val="22"/>
                <w:szCs w:val="22"/>
              </w:rPr>
              <w:t>Emotional effort:</w:t>
            </w:r>
          </w:p>
          <w:p w:rsidR="000B206D" w:rsidRPr="002F0618" w:rsidRDefault="000B206D" w:rsidP="00181AB0">
            <w:pPr>
              <w:rPr>
                <w:sz w:val="22"/>
                <w:szCs w:val="22"/>
              </w:rPr>
            </w:pPr>
            <w:r w:rsidRPr="002F0618">
              <w:rPr>
                <w:sz w:val="22"/>
                <w:szCs w:val="22"/>
              </w:rPr>
              <w:t>Frequent exposure to strongly held, conflicting stakeholder views and resistance to change and conflicting strategic priorities.  Required to deal with these with skill and diplomacy to build rapport and gain co-operation and compliance.</w:t>
            </w:r>
          </w:p>
          <w:p w:rsidR="000B206D" w:rsidRPr="002F0618" w:rsidRDefault="000B206D" w:rsidP="00181AB0">
            <w:pPr>
              <w:rPr>
                <w:sz w:val="22"/>
                <w:szCs w:val="22"/>
              </w:rPr>
            </w:pPr>
          </w:p>
          <w:p w:rsidR="000B206D" w:rsidRPr="002F0618" w:rsidRDefault="000B206D" w:rsidP="00181AB0">
            <w:pPr>
              <w:rPr>
                <w:bCs/>
                <w:sz w:val="22"/>
                <w:szCs w:val="22"/>
              </w:rPr>
            </w:pPr>
            <w:r w:rsidRPr="002F0618">
              <w:rPr>
                <w:sz w:val="22"/>
                <w:szCs w:val="22"/>
              </w:rPr>
              <w:t xml:space="preserve">Required to handle and resolve conflict and challenging behaviour during meetings or discussions, especially where these are related to service development/ change and/ or strategic matters. </w:t>
            </w:r>
          </w:p>
          <w:p w:rsidR="000B206D" w:rsidRPr="002F0618" w:rsidRDefault="000B206D" w:rsidP="00181AB0">
            <w:pPr>
              <w:rPr>
                <w:sz w:val="22"/>
                <w:szCs w:val="22"/>
              </w:rPr>
            </w:pPr>
          </w:p>
          <w:p w:rsidR="000B206D" w:rsidRPr="00125783" w:rsidRDefault="000B206D" w:rsidP="00181AB0">
            <w:pPr>
              <w:rPr>
                <w:bCs/>
                <w:sz w:val="22"/>
                <w:szCs w:val="22"/>
              </w:rPr>
            </w:pPr>
            <w:r w:rsidRPr="002F0618">
              <w:rPr>
                <w:sz w:val="22"/>
                <w:szCs w:val="22"/>
              </w:rPr>
              <w:t>Occasional exposure to distressing or emotional circumstances in relation to staff discipline and grievance matters.</w:t>
            </w:r>
          </w:p>
        </w:tc>
      </w:tr>
    </w:tbl>
    <w:p w:rsidR="000B206D" w:rsidRDefault="000B206D" w:rsidP="000B206D">
      <w:pPr>
        <w:rPr>
          <w:rFonts w:ascii="Times New Roman" w:hAnsi="Times New Roman"/>
          <w:sz w:val="24"/>
        </w:rPr>
      </w:pPr>
    </w:p>
    <w:tbl>
      <w:tblPr>
        <w:tblW w:w="10632"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632"/>
      </w:tblGrid>
      <w:tr w:rsidR="000B206D" w:rsidRPr="002B3AD9" w:rsidTr="00181AB0">
        <w:trPr>
          <w:trHeight w:val="454"/>
        </w:trPr>
        <w:tc>
          <w:tcPr>
            <w:tcW w:w="10632" w:type="dxa"/>
            <w:tcBorders>
              <w:top w:val="single" w:sz="4" w:space="0" w:color="auto"/>
              <w:left w:val="single" w:sz="4" w:space="0" w:color="auto"/>
              <w:right w:val="single" w:sz="4" w:space="0" w:color="auto"/>
            </w:tcBorders>
          </w:tcPr>
          <w:p w:rsidR="000B206D" w:rsidRPr="002B3AD9" w:rsidRDefault="000B206D" w:rsidP="000B206D">
            <w:pPr>
              <w:spacing w:before="120"/>
              <w:rPr>
                <w:b/>
                <w:sz w:val="22"/>
                <w:szCs w:val="22"/>
              </w:rPr>
            </w:pPr>
            <w:r w:rsidRPr="002B3AD9">
              <w:rPr>
                <w:b/>
                <w:sz w:val="22"/>
                <w:szCs w:val="22"/>
              </w:rPr>
              <w:t>12. ENVIRONMENTAL/WORKING CONDITIONS &amp; MACHINERY AND EQUIPMENT</w:t>
            </w:r>
          </w:p>
        </w:tc>
      </w:tr>
      <w:tr w:rsidR="000B206D" w:rsidRPr="002B3AD9" w:rsidTr="00181AB0">
        <w:tc>
          <w:tcPr>
            <w:tcW w:w="10632" w:type="dxa"/>
            <w:tcBorders>
              <w:left w:val="single" w:sz="4" w:space="0" w:color="auto"/>
              <w:bottom w:val="single" w:sz="4" w:space="0" w:color="auto"/>
              <w:right w:val="single" w:sz="4" w:space="0" w:color="auto"/>
            </w:tcBorders>
          </w:tcPr>
          <w:p w:rsidR="000B206D" w:rsidRPr="002F0618" w:rsidRDefault="000B206D" w:rsidP="000B206D">
            <w:pPr>
              <w:rPr>
                <w:sz w:val="22"/>
                <w:szCs w:val="22"/>
              </w:rPr>
            </w:pPr>
            <w:r w:rsidRPr="002F0618">
              <w:rPr>
                <w:sz w:val="22"/>
                <w:szCs w:val="22"/>
              </w:rPr>
              <w:t xml:space="preserve">Standard shared/open plan office conditions and equipment. </w:t>
            </w:r>
          </w:p>
          <w:p w:rsidR="000B206D" w:rsidRPr="002F0618" w:rsidRDefault="000B206D" w:rsidP="000B206D">
            <w:pPr>
              <w:rPr>
                <w:sz w:val="22"/>
                <w:szCs w:val="22"/>
              </w:rPr>
            </w:pPr>
          </w:p>
          <w:p w:rsidR="000B206D" w:rsidRPr="002F0618" w:rsidRDefault="000B206D" w:rsidP="000B206D">
            <w:pPr>
              <w:rPr>
                <w:sz w:val="22"/>
                <w:szCs w:val="22"/>
              </w:rPr>
            </w:pPr>
            <w:r w:rsidRPr="002F0618">
              <w:rPr>
                <w:sz w:val="22"/>
                <w:szCs w:val="22"/>
              </w:rPr>
              <w:t>Standard keyboard skills.</w:t>
            </w:r>
          </w:p>
          <w:p w:rsidR="000B206D" w:rsidRPr="002F0618" w:rsidRDefault="000B206D" w:rsidP="000B206D">
            <w:pPr>
              <w:rPr>
                <w:sz w:val="22"/>
                <w:szCs w:val="22"/>
              </w:rPr>
            </w:pPr>
          </w:p>
          <w:p w:rsidR="000B206D" w:rsidRPr="002B3AD9" w:rsidRDefault="000B206D" w:rsidP="00181AB0">
            <w:pPr>
              <w:rPr>
                <w:color w:val="0000FF"/>
                <w:sz w:val="22"/>
                <w:szCs w:val="22"/>
              </w:rPr>
            </w:pPr>
            <w:r w:rsidRPr="002F0618">
              <w:rPr>
                <w:sz w:val="22"/>
                <w:szCs w:val="22"/>
              </w:rPr>
              <w:t>Frequent driving, throughout Scotland, which can be for extended periods of time in adverse traffic conditions.</w:t>
            </w:r>
          </w:p>
        </w:tc>
      </w:tr>
    </w:tbl>
    <w:p w:rsidR="000B206D" w:rsidRDefault="000B206D" w:rsidP="000B206D">
      <w:pPr>
        <w:spacing w:before="120"/>
      </w:pPr>
    </w:p>
    <w:tbl>
      <w:tblPr>
        <w:tblW w:w="10632" w:type="dxa"/>
        <w:tblInd w:w="-34"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42"/>
        <w:gridCol w:w="2914"/>
        <w:gridCol w:w="4689"/>
        <w:gridCol w:w="790"/>
        <w:gridCol w:w="1684"/>
        <w:gridCol w:w="413"/>
      </w:tblGrid>
      <w:tr w:rsidR="000B206D" w:rsidTr="00181AB0">
        <w:trPr>
          <w:gridBefore w:val="1"/>
          <w:wBefore w:w="142" w:type="dxa"/>
          <w:trHeight w:val="454"/>
        </w:trPr>
        <w:tc>
          <w:tcPr>
            <w:tcW w:w="10490" w:type="dxa"/>
            <w:gridSpan w:val="5"/>
            <w:tcBorders>
              <w:top w:val="single" w:sz="4" w:space="0" w:color="auto"/>
              <w:left w:val="single" w:sz="4" w:space="0" w:color="auto"/>
              <w:right w:val="single" w:sz="4" w:space="0" w:color="auto"/>
            </w:tcBorders>
          </w:tcPr>
          <w:p w:rsidR="000B206D" w:rsidRPr="002B3AD9" w:rsidRDefault="000B206D" w:rsidP="000B206D">
            <w:pPr>
              <w:spacing w:before="120"/>
              <w:rPr>
                <w:b/>
                <w:sz w:val="22"/>
                <w:szCs w:val="22"/>
              </w:rPr>
            </w:pPr>
            <w:r>
              <w:br w:type="page"/>
            </w:r>
            <w:r w:rsidRPr="002B3AD9">
              <w:rPr>
                <w:b/>
                <w:sz w:val="22"/>
                <w:szCs w:val="22"/>
              </w:rPr>
              <w:t>13. KNOWLEDGE, TRAINING AND EXPERIENCE REQUIRED TO DO THE JOB</w:t>
            </w:r>
          </w:p>
        </w:tc>
      </w:tr>
      <w:tr w:rsidR="000B206D" w:rsidTr="00181AB0">
        <w:trPr>
          <w:gridBefore w:val="1"/>
          <w:wBefore w:w="142" w:type="dxa"/>
        </w:trPr>
        <w:tc>
          <w:tcPr>
            <w:tcW w:w="10490" w:type="dxa"/>
            <w:gridSpan w:val="5"/>
            <w:tcBorders>
              <w:left w:val="single" w:sz="4" w:space="0" w:color="auto"/>
              <w:bottom w:val="single" w:sz="4" w:space="0" w:color="auto"/>
              <w:right w:val="single" w:sz="4" w:space="0" w:color="auto"/>
            </w:tcBorders>
          </w:tcPr>
          <w:p w:rsidR="000B206D" w:rsidRDefault="000B206D" w:rsidP="000B206D">
            <w:pPr>
              <w:jc w:val="both"/>
              <w:rPr>
                <w:sz w:val="22"/>
                <w:szCs w:val="22"/>
              </w:rPr>
            </w:pPr>
          </w:p>
          <w:p w:rsidR="000B206D" w:rsidRDefault="000B206D" w:rsidP="00181AB0">
            <w:pPr>
              <w:rPr>
                <w:sz w:val="22"/>
                <w:szCs w:val="22"/>
              </w:rPr>
            </w:pPr>
            <w:r w:rsidRPr="001B1E80">
              <w:rPr>
                <w:sz w:val="22"/>
                <w:szCs w:val="22"/>
              </w:rPr>
              <w:t xml:space="preserve">Educated to degree level with an appropriate postgraduate </w:t>
            </w:r>
            <w:r w:rsidRPr="007B50F6">
              <w:rPr>
                <w:sz w:val="22"/>
                <w:szCs w:val="22"/>
              </w:rPr>
              <w:t>qualification in an IT, Business (e.g. MBA) or</w:t>
            </w:r>
            <w:r w:rsidRPr="001B1E80">
              <w:rPr>
                <w:sz w:val="22"/>
                <w:szCs w:val="22"/>
              </w:rPr>
              <w:t xml:space="preserve"> public health or management discipline, or equivalent experience. </w:t>
            </w:r>
          </w:p>
          <w:p w:rsidR="000B206D" w:rsidRDefault="000B206D" w:rsidP="00181AB0">
            <w:pPr>
              <w:rPr>
                <w:sz w:val="22"/>
                <w:szCs w:val="22"/>
              </w:rPr>
            </w:pPr>
          </w:p>
          <w:p w:rsidR="000B206D" w:rsidRDefault="000B206D" w:rsidP="00181AB0">
            <w:pPr>
              <w:rPr>
                <w:sz w:val="22"/>
                <w:szCs w:val="22"/>
              </w:rPr>
            </w:pPr>
            <w:r>
              <w:rPr>
                <w:sz w:val="22"/>
                <w:szCs w:val="22"/>
              </w:rPr>
              <w:t>Significant demonstrable experience in a number of key areas including:</w:t>
            </w:r>
          </w:p>
          <w:p w:rsidR="000B206D" w:rsidRPr="00C56E8D" w:rsidRDefault="000B206D" w:rsidP="00181AB0">
            <w:pPr>
              <w:numPr>
                <w:ilvl w:val="0"/>
                <w:numId w:val="5"/>
              </w:numPr>
              <w:rPr>
                <w:sz w:val="22"/>
                <w:szCs w:val="22"/>
              </w:rPr>
            </w:pPr>
            <w:r>
              <w:rPr>
                <w:sz w:val="22"/>
                <w:szCs w:val="22"/>
              </w:rPr>
              <w:t>S</w:t>
            </w:r>
            <w:r w:rsidRPr="00C56E8D">
              <w:rPr>
                <w:sz w:val="22"/>
                <w:szCs w:val="22"/>
              </w:rPr>
              <w:t xml:space="preserve">enior management experience, </w:t>
            </w:r>
            <w:r>
              <w:rPr>
                <w:sz w:val="22"/>
                <w:szCs w:val="22"/>
              </w:rPr>
              <w:t>covering all aspects of</w:t>
            </w:r>
            <w:r w:rsidRPr="00C56E8D">
              <w:rPr>
                <w:sz w:val="22"/>
                <w:szCs w:val="22"/>
              </w:rPr>
              <w:t xml:space="preserve"> financial</w:t>
            </w:r>
            <w:r>
              <w:rPr>
                <w:sz w:val="22"/>
                <w:szCs w:val="22"/>
              </w:rPr>
              <w:t>, performance</w:t>
            </w:r>
            <w:r w:rsidRPr="00C56E8D">
              <w:rPr>
                <w:sz w:val="22"/>
                <w:szCs w:val="22"/>
              </w:rPr>
              <w:t xml:space="preserve"> and risk management, within a large complex organisation preferably within the NHS or public sector.</w:t>
            </w:r>
          </w:p>
          <w:p w:rsidR="000B206D" w:rsidRPr="00C56E8D" w:rsidRDefault="000B206D" w:rsidP="00181AB0">
            <w:pPr>
              <w:numPr>
                <w:ilvl w:val="0"/>
                <w:numId w:val="5"/>
              </w:numPr>
              <w:rPr>
                <w:sz w:val="22"/>
                <w:szCs w:val="22"/>
              </w:rPr>
            </w:pPr>
            <w:r>
              <w:rPr>
                <w:sz w:val="22"/>
                <w:szCs w:val="22"/>
              </w:rPr>
              <w:t>M</w:t>
            </w:r>
            <w:r w:rsidRPr="00C56E8D">
              <w:rPr>
                <w:sz w:val="22"/>
                <w:szCs w:val="22"/>
              </w:rPr>
              <w:t xml:space="preserve">anagement of major </w:t>
            </w:r>
            <w:r>
              <w:rPr>
                <w:sz w:val="22"/>
                <w:szCs w:val="22"/>
              </w:rPr>
              <w:t xml:space="preserve">contracts, </w:t>
            </w:r>
            <w:r w:rsidRPr="00C56E8D">
              <w:rPr>
                <w:sz w:val="22"/>
                <w:szCs w:val="22"/>
              </w:rPr>
              <w:t xml:space="preserve">projects and initiatives, with a deep knowledge of the breadth of </w:t>
            </w:r>
            <w:r>
              <w:rPr>
                <w:sz w:val="22"/>
                <w:szCs w:val="22"/>
              </w:rPr>
              <w:t>IM&amp;T</w:t>
            </w:r>
            <w:r w:rsidRPr="00C56E8D">
              <w:rPr>
                <w:sz w:val="22"/>
                <w:szCs w:val="22"/>
              </w:rPr>
              <w:t xml:space="preserve"> service issues within health and health care.  Proven experience of project management and/or acting in an advisory capacity in a </w:t>
            </w:r>
            <w:r>
              <w:rPr>
                <w:sz w:val="22"/>
                <w:szCs w:val="22"/>
              </w:rPr>
              <w:t>complex IM&amp;T</w:t>
            </w:r>
            <w:r w:rsidRPr="00C56E8D">
              <w:rPr>
                <w:sz w:val="22"/>
                <w:szCs w:val="22"/>
              </w:rPr>
              <w:t xml:space="preserve"> environment is essential.</w:t>
            </w:r>
          </w:p>
          <w:p w:rsidR="000B206D" w:rsidRPr="00C56E8D" w:rsidRDefault="000B206D" w:rsidP="00181AB0">
            <w:pPr>
              <w:numPr>
                <w:ilvl w:val="0"/>
                <w:numId w:val="5"/>
              </w:numPr>
              <w:rPr>
                <w:sz w:val="22"/>
                <w:szCs w:val="22"/>
              </w:rPr>
            </w:pPr>
            <w:r>
              <w:rPr>
                <w:sz w:val="22"/>
                <w:szCs w:val="22"/>
              </w:rPr>
              <w:t>D</w:t>
            </w:r>
            <w:r w:rsidRPr="00C56E8D">
              <w:rPr>
                <w:sz w:val="22"/>
                <w:szCs w:val="22"/>
              </w:rPr>
              <w:t>eveloping effective customer relationships and working in an environment where customer engagement is a key focus.</w:t>
            </w:r>
          </w:p>
          <w:p w:rsidR="000B206D" w:rsidRDefault="000B206D" w:rsidP="00181AB0">
            <w:pPr>
              <w:numPr>
                <w:ilvl w:val="0"/>
                <w:numId w:val="5"/>
              </w:numPr>
              <w:rPr>
                <w:sz w:val="22"/>
                <w:szCs w:val="22"/>
              </w:rPr>
            </w:pPr>
            <w:r w:rsidRPr="00C56E8D">
              <w:rPr>
                <w:sz w:val="22"/>
                <w:szCs w:val="22"/>
              </w:rPr>
              <w:t>Proven skills in leading and managing specialist, multi-disciplinary, high calibre staff.  Post-holders are expected to keep abreast of, and contribute to changes to, relevant policies and guidelines which impact on their staff (e.g. PIN guidelines, HR policies) or the way their business is delivered (e.g. Freedom of Information Act).</w:t>
            </w:r>
          </w:p>
          <w:p w:rsidR="000B206D" w:rsidRPr="001B1E80" w:rsidRDefault="000B206D" w:rsidP="00181AB0">
            <w:pPr>
              <w:numPr>
                <w:ilvl w:val="0"/>
                <w:numId w:val="5"/>
              </w:numPr>
              <w:rPr>
                <w:sz w:val="22"/>
                <w:szCs w:val="22"/>
              </w:rPr>
            </w:pPr>
            <w:r>
              <w:rPr>
                <w:sz w:val="22"/>
                <w:szCs w:val="22"/>
              </w:rPr>
              <w:t>W</w:t>
            </w:r>
            <w:r w:rsidRPr="001B1E80">
              <w:rPr>
                <w:sz w:val="22"/>
                <w:szCs w:val="22"/>
              </w:rPr>
              <w:t>ide ranging knowledge of the strategic direction and priorities for the NHS</w:t>
            </w:r>
            <w:r>
              <w:rPr>
                <w:sz w:val="22"/>
                <w:szCs w:val="22"/>
              </w:rPr>
              <w:t xml:space="preserve"> </w:t>
            </w:r>
            <w:r w:rsidRPr="001B1E80">
              <w:rPr>
                <w:sz w:val="22"/>
                <w:szCs w:val="22"/>
              </w:rPr>
              <w:t xml:space="preserve">Scotland and have the necessary vision, experience and influencing skills to drive strategic </w:t>
            </w:r>
            <w:r>
              <w:rPr>
                <w:sz w:val="22"/>
                <w:szCs w:val="22"/>
              </w:rPr>
              <w:t>IM&amp;T</w:t>
            </w:r>
            <w:r w:rsidRPr="001B1E80">
              <w:rPr>
                <w:sz w:val="22"/>
                <w:szCs w:val="22"/>
              </w:rPr>
              <w:t xml:space="preserve"> development. This requires </w:t>
            </w:r>
            <w:r>
              <w:rPr>
                <w:sz w:val="22"/>
                <w:szCs w:val="22"/>
              </w:rPr>
              <w:t>comprehensive</w:t>
            </w:r>
            <w:r w:rsidRPr="001B1E80">
              <w:rPr>
                <w:sz w:val="22"/>
                <w:szCs w:val="22"/>
              </w:rPr>
              <w:t xml:space="preserve"> knowledge of, and experience in dealing with, </w:t>
            </w:r>
            <w:r>
              <w:rPr>
                <w:sz w:val="22"/>
                <w:szCs w:val="22"/>
              </w:rPr>
              <w:t xml:space="preserve">IM&amp;T services </w:t>
            </w:r>
            <w:r w:rsidRPr="001B1E80">
              <w:rPr>
                <w:sz w:val="22"/>
                <w:szCs w:val="22"/>
              </w:rPr>
              <w:t>for health and social care and modern technology to deliver solutions.</w:t>
            </w:r>
          </w:p>
          <w:p w:rsidR="000B206D" w:rsidRPr="001B1E80" w:rsidRDefault="000B206D" w:rsidP="00181AB0">
            <w:pPr>
              <w:rPr>
                <w:sz w:val="22"/>
                <w:szCs w:val="22"/>
              </w:rPr>
            </w:pPr>
          </w:p>
          <w:p w:rsidR="000B206D" w:rsidRDefault="000B206D" w:rsidP="00181AB0">
            <w:pPr>
              <w:widowControl w:val="0"/>
              <w:tabs>
                <w:tab w:val="left" w:pos="2268"/>
                <w:tab w:val="left" w:pos="3402"/>
              </w:tabs>
              <w:rPr>
                <w:sz w:val="22"/>
                <w:szCs w:val="22"/>
              </w:rPr>
            </w:pPr>
            <w:r w:rsidRPr="001B1E80">
              <w:rPr>
                <w:sz w:val="22"/>
                <w:szCs w:val="22"/>
              </w:rPr>
              <w:t>Excellent communication skills, including the ability to simplify and communicate complexity, and the maturity to operate at all levels within NHS, and other care service providers, including voluntary groups.</w:t>
            </w:r>
          </w:p>
          <w:p w:rsidR="000B206D" w:rsidRPr="001B1E80" w:rsidRDefault="000B206D" w:rsidP="00181AB0">
            <w:pPr>
              <w:widowControl w:val="0"/>
              <w:tabs>
                <w:tab w:val="left" w:pos="2268"/>
                <w:tab w:val="left" w:pos="3402"/>
              </w:tabs>
              <w:rPr>
                <w:bCs/>
                <w:sz w:val="22"/>
                <w:szCs w:val="22"/>
              </w:rPr>
            </w:pPr>
          </w:p>
          <w:p w:rsidR="000B206D" w:rsidRPr="002B3AD9" w:rsidRDefault="000B206D" w:rsidP="00181AB0">
            <w:pPr>
              <w:pStyle w:val="BodyText"/>
              <w:spacing w:before="0" w:after="0"/>
              <w:rPr>
                <w:sz w:val="22"/>
                <w:szCs w:val="22"/>
              </w:rPr>
            </w:pPr>
            <w:r w:rsidRPr="001B1E80">
              <w:rPr>
                <w:b w:val="0"/>
                <w:sz w:val="22"/>
                <w:szCs w:val="22"/>
              </w:rPr>
              <w:t xml:space="preserve">The post holder should have vision and imagination and should be change, action and results oriented.  </w:t>
            </w: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c>
          <w:tcPr>
            <w:tcW w:w="10632" w:type="dxa"/>
            <w:gridSpan w:val="6"/>
            <w:tcBorders>
              <w:top w:val="single" w:sz="4" w:space="0" w:color="auto"/>
              <w:left w:val="nil"/>
              <w:bottom w:val="single" w:sz="4" w:space="0" w:color="auto"/>
              <w:right w:val="nil"/>
            </w:tcBorders>
          </w:tcPr>
          <w:p w:rsidR="00181AB0" w:rsidRPr="00197DD5"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c>
          <w:tcPr>
            <w:tcW w:w="10632" w:type="dxa"/>
            <w:gridSpan w:val="6"/>
            <w:tcBorders>
              <w:top w:val="single" w:sz="4" w:space="0" w:color="auto"/>
              <w:left w:val="single" w:sz="4" w:space="0" w:color="auto"/>
              <w:bottom w:val="nil"/>
              <w:right w:val="single" w:sz="4" w:space="0" w:color="auto"/>
            </w:tcBorders>
          </w:tcPr>
          <w:p w:rsidR="00181AB0" w:rsidRPr="00197DD5" w:rsidRDefault="00181AB0" w:rsidP="009A797B">
            <w:pPr>
              <w:spacing w:before="120" w:after="120"/>
              <w:rPr>
                <w:b/>
                <w:sz w:val="22"/>
                <w:szCs w:val="22"/>
              </w:rPr>
            </w:pPr>
            <w:r w:rsidRPr="00197DD5">
              <w:rPr>
                <w:b/>
                <w:sz w:val="22"/>
                <w:szCs w:val="22"/>
              </w:rPr>
              <w:t xml:space="preserve">14.   </w:t>
            </w:r>
            <w:r w:rsidRPr="00197DD5">
              <w:rPr>
                <w:b/>
                <w:sz w:val="22"/>
                <w:szCs w:val="22"/>
              </w:rPr>
              <w:tab/>
              <w:t>JOB DESCRIPTION AGREEMENT</w:t>
            </w: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c>
          <w:tcPr>
            <w:tcW w:w="10632" w:type="dxa"/>
            <w:gridSpan w:val="6"/>
            <w:tcBorders>
              <w:top w:val="nil"/>
              <w:left w:val="single" w:sz="4" w:space="0" w:color="auto"/>
              <w:bottom w:val="nil"/>
              <w:right w:val="single" w:sz="4" w:space="0" w:color="auto"/>
            </w:tcBorders>
          </w:tcPr>
          <w:p w:rsidR="00181AB0" w:rsidRDefault="00181AB0" w:rsidP="009A797B">
            <w:pPr>
              <w:pStyle w:val="BodyText"/>
              <w:spacing w:line="264" w:lineRule="auto"/>
              <w:rPr>
                <w:b w:val="0"/>
                <w:sz w:val="22"/>
                <w:szCs w:val="22"/>
              </w:rPr>
            </w:pPr>
            <w:r w:rsidRPr="00197DD5">
              <w:rPr>
                <w:b w:val="0"/>
                <w:sz w:val="22"/>
                <w:szCs w:val="22"/>
              </w:rPr>
              <w:t xml:space="preserve">A separate job description will </w:t>
            </w:r>
            <w:r>
              <w:rPr>
                <w:b w:val="0"/>
                <w:sz w:val="22"/>
                <w:szCs w:val="22"/>
              </w:rPr>
              <w:t>need to be signed off by each post</w:t>
            </w:r>
            <w:r w:rsidRPr="00197DD5">
              <w:rPr>
                <w:b w:val="0"/>
                <w:sz w:val="22"/>
                <w:szCs w:val="22"/>
              </w:rPr>
              <w:t>holder to whom the job description applies.</w:t>
            </w:r>
          </w:p>
          <w:p w:rsidR="00181AB0" w:rsidRPr="00197DD5" w:rsidRDefault="00181AB0" w:rsidP="009A797B">
            <w:pPr>
              <w:pStyle w:val="BodyText"/>
              <w:spacing w:line="264" w:lineRule="auto"/>
              <w:rPr>
                <w:b w:val="0"/>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c>
          <w:tcPr>
            <w:tcW w:w="3056" w:type="dxa"/>
            <w:gridSpan w:val="2"/>
            <w:tcBorders>
              <w:top w:val="nil"/>
              <w:left w:val="single" w:sz="4" w:space="0" w:color="auto"/>
              <w:bottom w:val="nil"/>
              <w:right w:val="single" w:sz="4" w:space="0" w:color="auto"/>
            </w:tcBorders>
          </w:tcPr>
          <w:p w:rsidR="00181AB0" w:rsidRPr="005A0CBC" w:rsidRDefault="00181AB0" w:rsidP="009A797B">
            <w:pPr>
              <w:spacing w:before="120" w:after="120"/>
              <w:rPr>
                <w:sz w:val="22"/>
                <w:szCs w:val="22"/>
              </w:rPr>
            </w:pPr>
            <w:r w:rsidRPr="005A0CBC">
              <w:rPr>
                <w:sz w:val="22"/>
                <w:szCs w:val="22"/>
              </w:rPr>
              <w:t>Postholder Signature</w:t>
            </w:r>
            <w:r>
              <w:rPr>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181AB0" w:rsidRPr="005A0CBC" w:rsidRDefault="00181AB0" w:rsidP="009A797B">
            <w:pPr>
              <w:spacing w:before="120" w:after="120"/>
              <w:rPr>
                <w:sz w:val="22"/>
                <w:szCs w:val="22"/>
              </w:rPr>
            </w:pPr>
          </w:p>
        </w:tc>
        <w:tc>
          <w:tcPr>
            <w:tcW w:w="790" w:type="dxa"/>
            <w:tcBorders>
              <w:top w:val="nil"/>
              <w:left w:val="single" w:sz="4" w:space="0" w:color="auto"/>
              <w:bottom w:val="nil"/>
              <w:right w:val="single" w:sz="4" w:space="0" w:color="auto"/>
            </w:tcBorders>
          </w:tcPr>
          <w:p w:rsidR="00181AB0" w:rsidRPr="005A0CBC" w:rsidRDefault="00181AB0" w:rsidP="009A797B">
            <w:pPr>
              <w:spacing w:before="120" w:after="120"/>
              <w:jc w:val="right"/>
              <w:rPr>
                <w:sz w:val="22"/>
                <w:szCs w:val="22"/>
              </w:rPr>
            </w:pPr>
            <w:r w:rsidRPr="005A0CBC">
              <w:rPr>
                <w:sz w:val="22"/>
                <w:szCs w:val="22"/>
              </w:rPr>
              <w:t>Date</w:t>
            </w:r>
            <w:r>
              <w:rPr>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181AB0" w:rsidRPr="005A0CBC" w:rsidRDefault="00181AB0" w:rsidP="009A797B">
            <w:pPr>
              <w:spacing w:before="120" w:after="120"/>
              <w:rPr>
                <w:sz w:val="22"/>
                <w:szCs w:val="22"/>
              </w:rPr>
            </w:pPr>
          </w:p>
        </w:tc>
        <w:tc>
          <w:tcPr>
            <w:tcW w:w="413" w:type="dxa"/>
            <w:tcBorders>
              <w:top w:val="nil"/>
              <w:left w:val="single" w:sz="4" w:space="0" w:color="auto"/>
              <w:bottom w:val="nil"/>
              <w:right w:val="single" w:sz="4" w:space="0" w:color="auto"/>
            </w:tcBorders>
            <w:shd w:val="clear" w:color="auto" w:fill="auto"/>
          </w:tcPr>
          <w:p w:rsidR="00181AB0" w:rsidRPr="005A0CBC"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rsidR="00181AB0" w:rsidRPr="005A0CBC" w:rsidRDefault="00181AB0" w:rsidP="009A797B">
            <w:pPr>
              <w:spacing w:before="120" w:after="120"/>
              <w:rPr>
                <w:sz w:val="22"/>
                <w:szCs w:val="22"/>
              </w:rPr>
            </w:pPr>
          </w:p>
        </w:tc>
        <w:tc>
          <w:tcPr>
            <w:tcW w:w="4689" w:type="dxa"/>
            <w:tcBorders>
              <w:top w:val="nil"/>
              <w:left w:val="nil"/>
              <w:bottom w:val="single" w:sz="4" w:space="0" w:color="auto"/>
              <w:right w:val="nil"/>
            </w:tcBorders>
          </w:tcPr>
          <w:p w:rsidR="00181AB0" w:rsidRPr="005A0CBC" w:rsidRDefault="00181AB0" w:rsidP="009A797B">
            <w:pPr>
              <w:spacing w:before="120" w:after="120"/>
              <w:rPr>
                <w:sz w:val="22"/>
                <w:szCs w:val="22"/>
              </w:rPr>
            </w:pPr>
          </w:p>
        </w:tc>
        <w:tc>
          <w:tcPr>
            <w:tcW w:w="790" w:type="dxa"/>
            <w:tcBorders>
              <w:top w:val="nil"/>
              <w:left w:val="nil"/>
              <w:bottom w:val="nil"/>
              <w:right w:val="nil"/>
            </w:tcBorders>
          </w:tcPr>
          <w:p w:rsidR="00181AB0" w:rsidRPr="005A0CBC" w:rsidRDefault="00181AB0" w:rsidP="009A797B">
            <w:pPr>
              <w:spacing w:before="120" w:after="120"/>
              <w:jc w:val="right"/>
              <w:rPr>
                <w:sz w:val="22"/>
                <w:szCs w:val="22"/>
              </w:rPr>
            </w:pPr>
          </w:p>
        </w:tc>
        <w:tc>
          <w:tcPr>
            <w:tcW w:w="1684" w:type="dxa"/>
            <w:tcBorders>
              <w:top w:val="nil"/>
              <w:left w:val="nil"/>
              <w:bottom w:val="nil"/>
              <w:right w:val="nil"/>
            </w:tcBorders>
            <w:shd w:val="clear" w:color="auto" w:fill="auto"/>
          </w:tcPr>
          <w:p w:rsidR="00181AB0" w:rsidRPr="005A0CBC" w:rsidRDefault="00181AB0" w:rsidP="009A797B">
            <w:pPr>
              <w:spacing w:before="120" w:after="120"/>
              <w:rPr>
                <w:sz w:val="22"/>
                <w:szCs w:val="22"/>
              </w:rPr>
            </w:pPr>
          </w:p>
        </w:tc>
        <w:tc>
          <w:tcPr>
            <w:tcW w:w="413" w:type="dxa"/>
            <w:tcBorders>
              <w:left w:val="nil"/>
              <w:right w:val="single" w:sz="4" w:space="0" w:color="auto"/>
            </w:tcBorders>
            <w:shd w:val="clear" w:color="auto" w:fill="auto"/>
          </w:tcPr>
          <w:p w:rsidR="00181AB0" w:rsidRPr="005A0CBC"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c>
          <w:tcPr>
            <w:tcW w:w="3056" w:type="dxa"/>
            <w:gridSpan w:val="2"/>
            <w:tcBorders>
              <w:top w:val="nil"/>
              <w:left w:val="single" w:sz="4" w:space="0" w:color="auto"/>
              <w:bottom w:val="nil"/>
              <w:right w:val="single" w:sz="4" w:space="0" w:color="auto"/>
            </w:tcBorders>
          </w:tcPr>
          <w:p w:rsidR="00181AB0" w:rsidRPr="005A0CBC" w:rsidRDefault="00181AB0" w:rsidP="009A797B">
            <w:pPr>
              <w:spacing w:before="120" w:after="120"/>
              <w:rPr>
                <w:sz w:val="22"/>
                <w:szCs w:val="22"/>
              </w:rPr>
            </w:pPr>
            <w:r w:rsidRPr="005A0CBC">
              <w:rPr>
                <w:sz w:val="22"/>
                <w:szCs w:val="22"/>
              </w:rPr>
              <w:t>Postholder Print</w:t>
            </w:r>
            <w:r>
              <w:rPr>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181AB0" w:rsidRPr="005A0CBC" w:rsidRDefault="00181AB0" w:rsidP="009A797B">
            <w:pPr>
              <w:spacing w:before="120" w:after="120"/>
              <w:rPr>
                <w:sz w:val="22"/>
                <w:szCs w:val="22"/>
              </w:rPr>
            </w:pPr>
          </w:p>
        </w:tc>
        <w:tc>
          <w:tcPr>
            <w:tcW w:w="790" w:type="dxa"/>
            <w:tcBorders>
              <w:top w:val="nil"/>
              <w:left w:val="single" w:sz="4" w:space="0" w:color="auto"/>
              <w:bottom w:val="nil"/>
              <w:right w:val="nil"/>
            </w:tcBorders>
          </w:tcPr>
          <w:p w:rsidR="00181AB0" w:rsidRPr="005A0CBC" w:rsidRDefault="00181AB0" w:rsidP="009A797B">
            <w:pPr>
              <w:spacing w:before="120" w:after="120"/>
              <w:rPr>
                <w:sz w:val="22"/>
                <w:szCs w:val="22"/>
              </w:rPr>
            </w:pPr>
          </w:p>
        </w:tc>
        <w:tc>
          <w:tcPr>
            <w:tcW w:w="1684" w:type="dxa"/>
            <w:tcBorders>
              <w:top w:val="nil"/>
              <w:left w:val="nil"/>
              <w:bottom w:val="nil"/>
              <w:right w:val="nil"/>
            </w:tcBorders>
            <w:shd w:val="clear" w:color="auto" w:fill="auto"/>
          </w:tcPr>
          <w:p w:rsidR="00181AB0" w:rsidRPr="005A0CBC" w:rsidRDefault="00181AB0" w:rsidP="009A797B">
            <w:pPr>
              <w:spacing w:before="120" w:after="120"/>
              <w:rPr>
                <w:sz w:val="22"/>
                <w:szCs w:val="22"/>
              </w:rPr>
            </w:pPr>
          </w:p>
        </w:tc>
        <w:tc>
          <w:tcPr>
            <w:tcW w:w="413" w:type="dxa"/>
            <w:tcBorders>
              <w:left w:val="nil"/>
              <w:right w:val="single" w:sz="4" w:space="0" w:color="auto"/>
            </w:tcBorders>
            <w:shd w:val="clear" w:color="auto" w:fill="auto"/>
          </w:tcPr>
          <w:p w:rsidR="00181AB0" w:rsidRPr="005A0CBC"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rsidR="00181AB0" w:rsidRPr="005A0CBC" w:rsidRDefault="00181AB0" w:rsidP="009A797B">
            <w:pPr>
              <w:spacing w:before="120" w:after="120"/>
              <w:rPr>
                <w:sz w:val="22"/>
                <w:szCs w:val="22"/>
              </w:rPr>
            </w:pPr>
          </w:p>
        </w:tc>
        <w:tc>
          <w:tcPr>
            <w:tcW w:w="4689" w:type="dxa"/>
            <w:tcBorders>
              <w:top w:val="nil"/>
              <w:left w:val="nil"/>
              <w:bottom w:val="single" w:sz="4" w:space="0" w:color="auto"/>
              <w:right w:val="nil"/>
            </w:tcBorders>
          </w:tcPr>
          <w:p w:rsidR="00181AB0" w:rsidRPr="005A0CBC" w:rsidRDefault="00181AB0" w:rsidP="009A797B">
            <w:pPr>
              <w:spacing w:before="120" w:after="120"/>
              <w:rPr>
                <w:sz w:val="22"/>
                <w:szCs w:val="22"/>
              </w:rPr>
            </w:pPr>
          </w:p>
        </w:tc>
        <w:tc>
          <w:tcPr>
            <w:tcW w:w="790" w:type="dxa"/>
            <w:tcBorders>
              <w:top w:val="nil"/>
              <w:left w:val="nil"/>
              <w:bottom w:val="nil"/>
              <w:right w:val="nil"/>
            </w:tcBorders>
          </w:tcPr>
          <w:p w:rsidR="00181AB0" w:rsidRPr="005A0CBC" w:rsidRDefault="00181AB0" w:rsidP="009A797B">
            <w:pPr>
              <w:spacing w:before="120" w:after="120"/>
              <w:jc w:val="right"/>
              <w:rPr>
                <w:sz w:val="22"/>
                <w:szCs w:val="22"/>
              </w:rPr>
            </w:pPr>
          </w:p>
        </w:tc>
        <w:tc>
          <w:tcPr>
            <w:tcW w:w="1684" w:type="dxa"/>
            <w:tcBorders>
              <w:top w:val="nil"/>
              <w:left w:val="nil"/>
              <w:bottom w:val="nil"/>
              <w:right w:val="nil"/>
            </w:tcBorders>
            <w:shd w:val="clear" w:color="auto" w:fill="auto"/>
          </w:tcPr>
          <w:p w:rsidR="00181AB0" w:rsidRPr="005A0CBC" w:rsidRDefault="00181AB0" w:rsidP="009A797B">
            <w:pPr>
              <w:spacing w:before="120" w:after="120"/>
              <w:rPr>
                <w:sz w:val="22"/>
                <w:szCs w:val="22"/>
              </w:rPr>
            </w:pPr>
          </w:p>
        </w:tc>
        <w:tc>
          <w:tcPr>
            <w:tcW w:w="413" w:type="dxa"/>
            <w:tcBorders>
              <w:left w:val="nil"/>
              <w:right w:val="single" w:sz="4" w:space="0" w:color="auto"/>
            </w:tcBorders>
            <w:shd w:val="clear" w:color="auto" w:fill="auto"/>
          </w:tcPr>
          <w:p w:rsidR="00181AB0" w:rsidRPr="005A0CBC"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rPr>
          <w:trHeight w:val="383"/>
        </w:trPr>
        <w:tc>
          <w:tcPr>
            <w:tcW w:w="3056" w:type="dxa"/>
            <w:gridSpan w:val="2"/>
            <w:tcBorders>
              <w:top w:val="nil"/>
              <w:left w:val="single" w:sz="4" w:space="0" w:color="auto"/>
              <w:bottom w:val="nil"/>
              <w:right w:val="single" w:sz="4" w:space="0" w:color="auto"/>
            </w:tcBorders>
          </w:tcPr>
          <w:p w:rsidR="00181AB0" w:rsidRPr="005A0CBC" w:rsidRDefault="00181AB0" w:rsidP="009A797B">
            <w:pPr>
              <w:spacing w:before="120" w:after="120"/>
              <w:rPr>
                <w:sz w:val="22"/>
                <w:szCs w:val="22"/>
              </w:rPr>
            </w:pPr>
            <w:r w:rsidRPr="005A0CBC">
              <w:rPr>
                <w:sz w:val="22"/>
                <w:szCs w:val="22"/>
              </w:rPr>
              <w:t>Manager Signature</w:t>
            </w:r>
            <w:r>
              <w:rPr>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181AB0" w:rsidRPr="005A0CBC" w:rsidRDefault="00181AB0" w:rsidP="009A797B">
            <w:pPr>
              <w:spacing w:before="120" w:after="120"/>
              <w:rPr>
                <w:sz w:val="22"/>
                <w:szCs w:val="22"/>
              </w:rPr>
            </w:pPr>
          </w:p>
        </w:tc>
        <w:tc>
          <w:tcPr>
            <w:tcW w:w="790" w:type="dxa"/>
            <w:tcBorders>
              <w:top w:val="nil"/>
              <w:left w:val="single" w:sz="4" w:space="0" w:color="auto"/>
              <w:bottom w:val="nil"/>
              <w:right w:val="single" w:sz="4" w:space="0" w:color="auto"/>
            </w:tcBorders>
          </w:tcPr>
          <w:p w:rsidR="00181AB0" w:rsidRPr="005A0CBC" w:rsidRDefault="00181AB0" w:rsidP="009A797B">
            <w:pPr>
              <w:spacing w:before="120" w:after="120"/>
              <w:jc w:val="right"/>
              <w:rPr>
                <w:sz w:val="22"/>
                <w:szCs w:val="22"/>
              </w:rPr>
            </w:pPr>
            <w:r w:rsidRPr="005A0CBC">
              <w:rPr>
                <w:sz w:val="22"/>
                <w:szCs w:val="22"/>
              </w:rPr>
              <w:t>Date</w:t>
            </w:r>
            <w:r>
              <w:rPr>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181AB0" w:rsidRPr="005A0CBC" w:rsidRDefault="00181AB0" w:rsidP="009A797B">
            <w:pPr>
              <w:spacing w:before="120" w:after="120"/>
              <w:rPr>
                <w:sz w:val="22"/>
                <w:szCs w:val="22"/>
              </w:rPr>
            </w:pPr>
          </w:p>
        </w:tc>
        <w:tc>
          <w:tcPr>
            <w:tcW w:w="413" w:type="dxa"/>
            <w:tcBorders>
              <w:left w:val="single" w:sz="4" w:space="0" w:color="auto"/>
              <w:right w:val="single" w:sz="4" w:space="0" w:color="auto"/>
            </w:tcBorders>
            <w:shd w:val="clear" w:color="auto" w:fill="auto"/>
          </w:tcPr>
          <w:p w:rsidR="00181AB0" w:rsidRPr="005A0CBC"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rsidR="00181AB0" w:rsidRPr="005A0CBC" w:rsidRDefault="00181AB0" w:rsidP="009A797B">
            <w:pPr>
              <w:spacing w:before="120" w:after="120"/>
              <w:rPr>
                <w:sz w:val="22"/>
                <w:szCs w:val="22"/>
              </w:rPr>
            </w:pPr>
          </w:p>
        </w:tc>
        <w:tc>
          <w:tcPr>
            <w:tcW w:w="4689" w:type="dxa"/>
            <w:tcBorders>
              <w:top w:val="nil"/>
              <w:left w:val="nil"/>
              <w:bottom w:val="single" w:sz="4" w:space="0" w:color="auto"/>
              <w:right w:val="nil"/>
            </w:tcBorders>
          </w:tcPr>
          <w:p w:rsidR="00181AB0" w:rsidRPr="005A0CBC" w:rsidRDefault="00181AB0" w:rsidP="009A797B">
            <w:pPr>
              <w:spacing w:before="120" w:after="120"/>
              <w:rPr>
                <w:sz w:val="22"/>
                <w:szCs w:val="22"/>
              </w:rPr>
            </w:pPr>
          </w:p>
        </w:tc>
        <w:tc>
          <w:tcPr>
            <w:tcW w:w="790" w:type="dxa"/>
            <w:tcBorders>
              <w:top w:val="nil"/>
              <w:left w:val="nil"/>
              <w:bottom w:val="nil"/>
              <w:right w:val="nil"/>
            </w:tcBorders>
          </w:tcPr>
          <w:p w:rsidR="00181AB0" w:rsidRPr="005A0CBC" w:rsidRDefault="00181AB0" w:rsidP="009A797B">
            <w:pPr>
              <w:spacing w:before="120" w:after="120"/>
              <w:jc w:val="right"/>
              <w:rPr>
                <w:sz w:val="22"/>
                <w:szCs w:val="22"/>
              </w:rPr>
            </w:pPr>
          </w:p>
        </w:tc>
        <w:tc>
          <w:tcPr>
            <w:tcW w:w="1684" w:type="dxa"/>
            <w:tcBorders>
              <w:top w:val="nil"/>
              <w:left w:val="nil"/>
              <w:bottom w:val="nil"/>
              <w:right w:val="nil"/>
            </w:tcBorders>
            <w:shd w:val="clear" w:color="auto" w:fill="auto"/>
          </w:tcPr>
          <w:p w:rsidR="00181AB0" w:rsidRPr="005A0CBC" w:rsidRDefault="00181AB0" w:rsidP="009A797B">
            <w:pPr>
              <w:spacing w:before="120" w:after="120"/>
              <w:rPr>
                <w:sz w:val="22"/>
                <w:szCs w:val="22"/>
              </w:rPr>
            </w:pPr>
          </w:p>
        </w:tc>
        <w:tc>
          <w:tcPr>
            <w:tcW w:w="413" w:type="dxa"/>
            <w:tcBorders>
              <w:left w:val="nil"/>
              <w:right w:val="single" w:sz="4" w:space="0" w:color="auto"/>
            </w:tcBorders>
            <w:shd w:val="clear" w:color="auto" w:fill="auto"/>
          </w:tcPr>
          <w:p w:rsidR="00181AB0" w:rsidRPr="005A0CBC"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c>
          <w:tcPr>
            <w:tcW w:w="3056" w:type="dxa"/>
            <w:gridSpan w:val="2"/>
            <w:tcBorders>
              <w:top w:val="nil"/>
              <w:left w:val="single" w:sz="4" w:space="0" w:color="auto"/>
              <w:bottom w:val="nil"/>
              <w:right w:val="single" w:sz="4" w:space="0" w:color="auto"/>
            </w:tcBorders>
          </w:tcPr>
          <w:p w:rsidR="00181AB0" w:rsidRPr="005A0CBC" w:rsidRDefault="00181AB0" w:rsidP="009A797B">
            <w:pPr>
              <w:spacing w:before="120" w:after="120"/>
              <w:rPr>
                <w:sz w:val="22"/>
                <w:szCs w:val="22"/>
              </w:rPr>
            </w:pPr>
            <w:r w:rsidRPr="005A0CBC">
              <w:rPr>
                <w:sz w:val="22"/>
                <w:szCs w:val="22"/>
              </w:rPr>
              <w:t>Manager Print</w:t>
            </w:r>
            <w:r>
              <w:rPr>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181AB0" w:rsidRPr="005A0CBC" w:rsidRDefault="00181AB0" w:rsidP="009A797B">
            <w:pPr>
              <w:spacing w:before="120" w:after="120"/>
              <w:rPr>
                <w:sz w:val="22"/>
                <w:szCs w:val="22"/>
              </w:rPr>
            </w:pPr>
          </w:p>
        </w:tc>
        <w:tc>
          <w:tcPr>
            <w:tcW w:w="2887" w:type="dxa"/>
            <w:gridSpan w:val="3"/>
            <w:tcBorders>
              <w:top w:val="nil"/>
              <w:left w:val="single" w:sz="4" w:space="0" w:color="auto"/>
              <w:bottom w:val="nil"/>
              <w:right w:val="single" w:sz="4" w:space="0" w:color="auto"/>
            </w:tcBorders>
          </w:tcPr>
          <w:p w:rsidR="00181AB0" w:rsidRPr="005A0CBC"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rsidR="00181AB0" w:rsidRPr="005A0CBC" w:rsidRDefault="00181AB0" w:rsidP="009A797B">
            <w:pPr>
              <w:spacing w:before="120" w:after="120"/>
              <w:rPr>
                <w:sz w:val="22"/>
                <w:szCs w:val="22"/>
              </w:rPr>
            </w:pPr>
          </w:p>
        </w:tc>
        <w:tc>
          <w:tcPr>
            <w:tcW w:w="4689" w:type="dxa"/>
            <w:tcBorders>
              <w:top w:val="nil"/>
              <w:left w:val="nil"/>
              <w:bottom w:val="single" w:sz="4" w:space="0" w:color="auto"/>
              <w:right w:val="nil"/>
            </w:tcBorders>
          </w:tcPr>
          <w:p w:rsidR="00181AB0" w:rsidRPr="005A0CBC" w:rsidRDefault="00181AB0" w:rsidP="009A797B">
            <w:pPr>
              <w:spacing w:before="120" w:after="120"/>
              <w:rPr>
                <w:sz w:val="22"/>
                <w:szCs w:val="22"/>
              </w:rPr>
            </w:pPr>
          </w:p>
        </w:tc>
        <w:tc>
          <w:tcPr>
            <w:tcW w:w="790" w:type="dxa"/>
            <w:tcBorders>
              <w:top w:val="nil"/>
              <w:left w:val="nil"/>
              <w:bottom w:val="nil"/>
              <w:right w:val="nil"/>
            </w:tcBorders>
          </w:tcPr>
          <w:p w:rsidR="00181AB0" w:rsidRPr="005A0CBC" w:rsidRDefault="00181AB0" w:rsidP="009A797B">
            <w:pPr>
              <w:spacing w:before="120" w:after="120"/>
              <w:jc w:val="right"/>
              <w:rPr>
                <w:sz w:val="22"/>
                <w:szCs w:val="22"/>
              </w:rPr>
            </w:pPr>
          </w:p>
        </w:tc>
        <w:tc>
          <w:tcPr>
            <w:tcW w:w="1684" w:type="dxa"/>
            <w:tcBorders>
              <w:top w:val="nil"/>
              <w:left w:val="nil"/>
              <w:bottom w:val="nil"/>
              <w:right w:val="nil"/>
            </w:tcBorders>
            <w:shd w:val="clear" w:color="auto" w:fill="auto"/>
          </w:tcPr>
          <w:p w:rsidR="00181AB0" w:rsidRPr="005A0CBC" w:rsidRDefault="00181AB0" w:rsidP="009A797B">
            <w:pPr>
              <w:spacing w:before="120" w:after="120"/>
              <w:rPr>
                <w:sz w:val="22"/>
                <w:szCs w:val="22"/>
              </w:rPr>
            </w:pPr>
          </w:p>
        </w:tc>
        <w:tc>
          <w:tcPr>
            <w:tcW w:w="413" w:type="dxa"/>
            <w:tcBorders>
              <w:left w:val="nil"/>
              <w:right w:val="single" w:sz="4" w:space="0" w:color="auto"/>
            </w:tcBorders>
            <w:shd w:val="clear" w:color="auto" w:fill="auto"/>
          </w:tcPr>
          <w:p w:rsidR="00181AB0" w:rsidRPr="005A0CBC"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c>
          <w:tcPr>
            <w:tcW w:w="3056" w:type="dxa"/>
            <w:gridSpan w:val="2"/>
            <w:tcBorders>
              <w:top w:val="nil"/>
              <w:left w:val="single" w:sz="4" w:space="0" w:color="auto"/>
              <w:bottom w:val="nil"/>
              <w:right w:val="single" w:sz="4" w:space="0" w:color="auto"/>
            </w:tcBorders>
          </w:tcPr>
          <w:p w:rsidR="00181AB0" w:rsidRPr="005A0CBC" w:rsidRDefault="00181AB0" w:rsidP="009A797B">
            <w:pPr>
              <w:spacing w:before="120" w:after="120"/>
              <w:rPr>
                <w:sz w:val="22"/>
                <w:szCs w:val="22"/>
              </w:rPr>
            </w:pPr>
            <w:r w:rsidRPr="005A0CBC">
              <w:rPr>
                <w:sz w:val="22"/>
                <w:szCs w:val="22"/>
              </w:rPr>
              <w:t>Manager Title</w:t>
            </w:r>
            <w:r>
              <w:rPr>
                <w:sz w:val="22"/>
                <w:szCs w:val="22"/>
              </w:rPr>
              <w:t>:</w:t>
            </w:r>
          </w:p>
        </w:tc>
        <w:tc>
          <w:tcPr>
            <w:tcW w:w="4689" w:type="dxa"/>
            <w:tcBorders>
              <w:top w:val="single" w:sz="4" w:space="0" w:color="auto"/>
              <w:left w:val="single" w:sz="4" w:space="0" w:color="auto"/>
              <w:bottom w:val="single" w:sz="4" w:space="0" w:color="auto"/>
              <w:right w:val="single" w:sz="4" w:space="0" w:color="auto"/>
            </w:tcBorders>
          </w:tcPr>
          <w:p w:rsidR="00181AB0" w:rsidRPr="005A0CBC" w:rsidRDefault="00181AB0" w:rsidP="009A797B">
            <w:pPr>
              <w:spacing w:before="120" w:after="120"/>
              <w:rPr>
                <w:sz w:val="22"/>
                <w:szCs w:val="22"/>
              </w:rPr>
            </w:pPr>
          </w:p>
        </w:tc>
        <w:tc>
          <w:tcPr>
            <w:tcW w:w="2887" w:type="dxa"/>
            <w:gridSpan w:val="3"/>
            <w:tcBorders>
              <w:top w:val="nil"/>
              <w:left w:val="single" w:sz="4" w:space="0" w:color="auto"/>
              <w:bottom w:val="nil"/>
              <w:right w:val="single" w:sz="4" w:space="0" w:color="auto"/>
            </w:tcBorders>
          </w:tcPr>
          <w:p w:rsidR="00181AB0" w:rsidRPr="005A0CBC"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nil"/>
              <w:right w:val="nil"/>
            </w:tcBorders>
          </w:tcPr>
          <w:p w:rsidR="00181AB0" w:rsidRPr="00197DD5" w:rsidRDefault="00181AB0" w:rsidP="009A797B">
            <w:pPr>
              <w:spacing w:before="120" w:after="120"/>
              <w:rPr>
                <w:szCs w:val="22"/>
              </w:rPr>
            </w:pPr>
          </w:p>
        </w:tc>
        <w:tc>
          <w:tcPr>
            <w:tcW w:w="4689" w:type="dxa"/>
            <w:tcBorders>
              <w:top w:val="nil"/>
              <w:left w:val="nil"/>
              <w:bottom w:val="nil"/>
              <w:right w:val="nil"/>
            </w:tcBorders>
          </w:tcPr>
          <w:p w:rsidR="00181AB0" w:rsidRPr="00197DD5" w:rsidRDefault="00181AB0" w:rsidP="009A797B">
            <w:pPr>
              <w:spacing w:before="120" w:after="120"/>
              <w:rPr>
                <w:sz w:val="22"/>
                <w:szCs w:val="22"/>
              </w:rPr>
            </w:pPr>
          </w:p>
        </w:tc>
        <w:tc>
          <w:tcPr>
            <w:tcW w:w="790" w:type="dxa"/>
            <w:tcBorders>
              <w:top w:val="nil"/>
              <w:left w:val="nil"/>
              <w:bottom w:val="nil"/>
              <w:right w:val="nil"/>
            </w:tcBorders>
          </w:tcPr>
          <w:p w:rsidR="00181AB0" w:rsidRPr="00197DD5" w:rsidRDefault="00181AB0" w:rsidP="009A797B">
            <w:pPr>
              <w:spacing w:before="120" w:after="120"/>
              <w:jc w:val="right"/>
              <w:rPr>
                <w:szCs w:val="22"/>
              </w:rPr>
            </w:pPr>
          </w:p>
        </w:tc>
        <w:tc>
          <w:tcPr>
            <w:tcW w:w="1684" w:type="dxa"/>
            <w:tcBorders>
              <w:top w:val="nil"/>
              <w:left w:val="nil"/>
              <w:bottom w:val="nil"/>
              <w:right w:val="nil"/>
            </w:tcBorders>
            <w:shd w:val="clear" w:color="auto" w:fill="auto"/>
          </w:tcPr>
          <w:p w:rsidR="00181AB0" w:rsidRPr="00197DD5" w:rsidRDefault="00181AB0" w:rsidP="009A797B">
            <w:pPr>
              <w:spacing w:before="120" w:after="120"/>
              <w:rPr>
                <w:sz w:val="22"/>
                <w:szCs w:val="22"/>
              </w:rPr>
            </w:pPr>
          </w:p>
        </w:tc>
        <w:tc>
          <w:tcPr>
            <w:tcW w:w="413" w:type="dxa"/>
            <w:tcBorders>
              <w:top w:val="nil"/>
              <w:left w:val="nil"/>
              <w:bottom w:val="nil"/>
              <w:right w:val="single" w:sz="4" w:space="0" w:color="auto"/>
            </w:tcBorders>
            <w:shd w:val="clear" w:color="auto" w:fill="auto"/>
          </w:tcPr>
          <w:p w:rsidR="00181AB0" w:rsidRPr="00197DD5" w:rsidRDefault="00181AB0" w:rsidP="009A797B">
            <w:pPr>
              <w:spacing w:before="120" w:after="120"/>
              <w:rPr>
                <w:sz w:val="22"/>
                <w:szCs w:val="22"/>
              </w:rPr>
            </w:pPr>
          </w:p>
        </w:tc>
      </w:tr>
      <w:tr w:rsidR="00181AB0" w:rsidRPr="00197DD5" w:rsidTr="00181AB0">
        <w:tblPrEx>
          <w:tblBorders>
            <w:top w:val="single" w:sz="6" w:space="0" w:color="auto"/>
            <w:left w:val="single" w:sz="6" w:space="0" w:color="auto"/>
            <w:bottom w:val="single" w:sz="6" w:space="0" w:color="auto"/>
            <w:right w:val="single" w:sz="6" w:space="0" w:color="auto"/>
            <w:insideV w:val="none" w:sz="0" w:space="0" w:color="auto"/>
          </w:tblBorders>
        </w:tblPrEx>
        <w:trPr>
          <w:trHeight w:hRule="exact" w:val="170"/>
        </w:trPr>
        <w:tc>
          <w:tcPr>
            <w:tcW w:w="3056" w:type="dxa"/>
            <w:gridSpan w:val="2"/>
            <w:tcBorders>
              <w:top w:val="nil"/>
              <w:left w:val="single" w:sz="4" w:space="0" w:color="auto"/>
              <w:bottom w:val="single" w:sz="4" w:space="0" w:color="auto"/>
              <w:right w:val="nil"/>
            </w:tcBorders>
          </w:tcPr>
          <w:p w:rsidR="00181AB0" w:rsidRPr="00197DD5" w:rsidRDefault="00181AB0" w:rsidP="009A797B">
            <w:pPr>
              <w:spacing w:before="120" w:after="120"/>
              <w:rPr>
                <w:szCs w:val="22"/>
              </w:rPr>
            </w:pPr>
          </w:p>
        </w:tc>
        <w:tc>
          <w:tcPr>
            <w:tcW w:w="4689" w:type="dxa"/>
            <w:tcBorders>
              <w:top w:val="nil"/>
              <w:left w:val="nil"/>
              <w:bottom w:val="single" w:sz="4" w:space="0" w:color="auto"/>
              <w:right w:val="nil"/>
            </w:tcBorders>
          </w:tcPr>
          <w:p w:rsidR="00181AB0" w:rsidRPr="00197DD5" w:rsidRDefault="00181AB0" w:rsidP="009A797B">
            <w:pPr>
              <w:spacing w:before="120" w:after="120"/>
              <w:rPr>
                <w:sz w:val="22"/>
                <w:szCs w:val="22"/>
              </w:rPr>
            </w:pPr>
          </w:p>
        </w:tc>
        <w:tc>
          <w:tcPr>
            <w:tcW w:w="790" w:type="dxa"/>
            <w:tcBorders>
              <w:top w:val="nil"/>
              <w:left w:val="nil"/>
              <w:bottom w:val="single" w:sz="4" w:space="0" w:color="auto"/>
              <w:right w:val="nil"/>
            </w:tcBorders>
          </w:tcPr>
          <w:p w:rsidR="00181AB0" w:rsidRPr="00197DD5" w:rsidRDefault="00181AB0" w:rsidP="009A797B">
            <w:pPr>
              <w:spacing w:before="120" w:after="120"/>
              <w:jc w:val="right"/>
              <w:rPr>
                <w:szCs w:val="22"/>
              </w:rPr>
            </w:pPr>
          </w:p>
        </w:tc>
        <w:tc>
          <w:tcPr>
            <w:tcW w:w="1684" w:type="dxa"/>
            <w:tcBorders>
              <w:top w:val="nil"/>
              <w:left w:val="nil"/>
              <w:bottom w:val="single" w:sz="4" w:space="0" w:color="auto"/>
              <w:right w:val="nil"/>
            </w:tcBorders>
            <w:shd w:val="clear" w:color="auto" w:fill="auto"/>
          </w:tcPr>
          <w:p w:rsidR="00181AB0" w:rsidRPr="00197DD5" w:rsidRDefault="00181AB0" w:rsidP="009A797B">
            <w:pPr>
              <w:spacing w:before="120" w:after="120"/>
              <w:rPr>
                <w:sz w:val="22"/>
                <w:szCs w:val="22"/>
              </w:rPr>
            </w:pPr>
          </w:p>
        </w:tc>
        <w:tc>
          <w:tcPr>
            <w:tcW w:w="413" w:type="dxa"/>
            <w:tcBorders>
              <w:top w:val="nil"/>
              <w:left w:val="nil"/>
              <w:bottom w:val="single" w:sz="4" w:space="0" w:color="auto"/>
              <w:right w:val="single" w:sz="4" w:space="0" w:color="auto"/>
            </w:tcBorders>
            <w:shd w:val="clear" w:color="auto" w:fill="auto"/>
          </w:tcPr>
          <w:p w:rsidR="00181AB0" w:rsidRPr="00197DD5" w:rsidRDefault="00181AB0" w:rsidP="009A797B">
            <w:pPr>
              <w:spacing w:before="120" w:after="120"/>
              <w:rPr>
                <w:sz w:val="22"/>
                <w:szCs w:val="22"/>
              </w:rPr>
            </w:pPr>
          </w:p>
        </w:tc>
      </w:tr>
    </w:tbl>
    <w:p w:rsidR="00181AB0" w:rsidRPr="00197DD5" w:rsidRDefault="00181AB0" w:rsidP="00181AB0">
      <w:pPr>
        <w:spacing w:before="120" w:after="120"/>
        <w:rPr>
          <w:sz w:val="22"/>
          <w:szCs w:val="22"/>
        </w:rPr>
      </w:pPr>
    </w:p>
    <w:p w:rsidR="00181AB0" w:rsidRPr="00197DD5" w:rsidRDefault="00181AB0" w:rsidP="00181AB0">
      <w:pPr>
        <w:spacing w:before="120" w:after="120"/>
        <w:rPr>
          <w:sz w:val="22"/>
          <w:szCs w:val="22"/>
        </w:rPr>
      </w:pPr>
    </w:p>
    <w:p w:rsidR="00E340C0" w:rsidRDefault="00E340C0"/>
    <w:sectPr w:rsidR="00E340C0" w:rsidSect="000B206D">
      <w:headerReference w:type="default" r:id="rId8"/>
      <w:pgSz w:w="11906" w:h="16838"/>
      <w:pgMar w:top="719" w:right="1286" w:bottom="89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3E2" w:rsidRDefault="003E43E2" w:rsidP="00181AB0">
      <w:r>
        <w:separator/>
      </w:r>
    </w:p>
  </w:endnote>
  <w:endnote w:type="continuationSeparator" w:id="0">
    <w:p w:rsidR="003E43E2" w:rsidRDefault="003E43E2" w:rsidP="0018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3E2" w:rsidRDefault="003E43E2" w:rsidP="00181AB0">
      <w:r>
        <w:separator/>
      </w:r>
    </w:p>
  </w:footnote>
  <w:footnote w:type="continuationSeparator" w:id="0">
    <w:p w:rsidR="003E43E2" w:rsidRDefault="003E43E2" w:rsidP="0018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AB0" w:rsidRDefault="00181AB0" w:rsidP="00181AB0">
    <w:pPr>
      <w:pStyle w:val="Header"/>
      <w:jc w:val="right"/>
    </w:pPr>
    <w:r>
      <w:tab/>
    </w:r>
    <w:r>
      <w:rPr>
        <w:noProof/>
        <w:sz w:val="28"/>
        <w:lang w:eastAsia="en-GB"/>
      </w:rPr>
      <w:drawing>
        <wp:inline distT="0" distB="0" distL="0" distR="0">
          <wp:extent cx="885825" cy="914400"/>
          <wp:effectExtent l="19050" t="0" r="9525"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1"/>
                  <a:srcRect/>
                  <a:stretch>
                    <a:fillRect/>
                  </a:stretch>
                </pic:blipFill>
                <pic:spPr bwMode="auto">
                  <a:xfrm>
                    <a:off x="0" y="0"/>
                    <a:ext cx="885825" cy="914400"/>
                  </a:xfrm>
                  <a:prstGeom prst="rect">
                    <a:avLst/>
                  </a:prstGeom>
                  <a:noFill/>
                  <a:ln w="9525">
                    <a:noFill/>
                    <a:miter lim="800000"/>
                    <a:headEnd/>
                    <a:tailEnd/>
                  </a:ln>
                </pic:spPr>
              </pic:pic>
            </a:graphicData>
          </a:graphic>
        </wp:inline>
      </w:drawing>
    </w:r>
  </w:p>
  <w:p w:rsidR="00181AB0" w:rsidRDefault="00181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535A"/>
    <w:multiLevelType w:val="hybridMultilevel"/>
    <w:tmpl w:val="E898A57C"/>
    <w:lvl w:ilvl="0" w:tplc="F6E43FAC">
      <w:start w:val="1"/>
      <w:numFmt w:val="decimal"/>
      <w:lvlText w:val="%1."/>
      <w:lvlJc w:val="left"/>
      <w:pPr>
        <w:tabs>
          <w:tab w:val="num" w:pos="360"/>
        </w:tabs>
        <w:ind w:left="360" w:hanging="360"/>
      </w:pPr>
      <w:rPr>
        <w:rFonts w:ascii="Arial" w:hAnsi="Arial" w:cs="Times New Roman" w:hint="default"/>
        <w:sz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4F262A07"/>
    <w:multiLevelType w:val="hybridMultilevel"/>
    <w:tmpl w:val="3730B09E"/>
    <w:lvl w:ilvl="0" w:tplc="32BA95DA">
      <w:start w:val="1"/>
      <w:numFmt w:val="bullet"/>
      <w:lvlText w:val="–"/>
      <w:lvlJc w:val="left"/>
      <w:pPr>
        <w:tabs>
          <w:tab w:val="num" w:pos="720"/>
        </w:tabs>
        <w:ind w:left="720" w:hanging="360"/>
      </w:pPr>
      <w:rPr>
        <w:rFonts w:ascii="Times New Roman" w:hAnsi="Times New Roman" w:hint="default"/>
      </w:rPr>
    </w:lvl>
    <w:lvl w:ilvl="1" w:tplc="6D1AEE86">
      <w:start w:val="1"/>
      <w:numFmt w:val="bullet"/>
      <w:lvlText w:val="–"/>
      <w:lvlJc w:val="left"/>
      <w:pPr>
        <w:tabs>
          <w:tab w:val="num" w:pos="1440"/>
        </w:tabs>
        <w:ind w:left="1440" w:hanging="360"/>
      </w:pPr>
      <w:rPr>
        <w:rFonts w:ascii="Times New Roman" w:hAnsi="Times New Roman" w:hint="default"/>
      </w:rPr>
    </w:lvl>
    <w:lvl w:ilvl="2" w:tplc="4ED47BC8">
      <w:start w:val="1"/>
      <w:numFmt w:val="bullet"/>
      <w:lvlText w:val="–"/>
      <w:lvlJc w:val="left"/>
      <w:pPr>
        <w:tabs>
          <w:tab w:val="num" w:pos="2160"/>
        </w:tabs>
        <w:ind w:left="2160" w:hanging="360"/>
      </w:pPr>
      <w:rPr>
        <w:rFonts w:ascii="Times New Roman" w:hAnsi="Times New Roman" w:hint="default"/>
      </w:rPr>
    </w:lvl>
    <w:lvl w:ilvl="3" w:tplc="2908883C">
      <w:start w:val="1"/>
      <w:numFmt w:val="bullet"/>
      <w:lvlText w:val="–"/>
      <w:lvlJc w:val="left"/>
      <w:pPr>
        <w:tabs>
          <w:tab w:val="num" w:pos="2880"/>
        </w:tabs>
        <w:ind w:left="2880" w:hanging="360"/>
      </w:pPr>
      <w:rPr>
        <w:rFonts w:ascii="Times New Roman" w:hAnsi="Times New Roman" w:hint="default"/>
      </w:rPr>
    </w:lvl>
    <w:lvl w:ilvl="4" w:tplc="0C241D24">
      <w:start w:val="1"/>
      <w:numFmt w:val="bullet"/>
      <w:lvlText w:val="–"/>
      <w:lvlJc w:val="left"/>
      <w:pPr>
        <w:tabs>
          <w:tab w:val="num" w:pos="3600"/>
        </w:tabs>
        <w:ind w:left="3600" w:hanging="360"/>
      </w:pPr>
      <w:rPr>
        <w:rFonts w:ascii="Times New Roman" w:hAnsi="Times New Roman" w:hint="default"/>
      </w:rPr>
    </w:lvl>
    <w:lvl w:ilvl="5" w:tplc="38101E70">
      <w:start w:val="1"/>
      <w:numFmt w:val="bullet"/>
      <w:lvlText w:val="–"/>
      <w:lvlJc w:val="left"/>
      <w:pPr>
        <w:tabs>
          <w:tab w:val="num" w:pos="4320"/>
        </w:tabs>
        <w:ind w:left="4320" w:hanging="360"/>
      </w:pPr>
      <w:rPr>
        <w:rFonts w:ascii="Times New Roman" w:hAnsi="Times New Roman" w:hint="default"/>
      </w:rPr>
    </w:lvl>
    <w:lvl w:ilvl="6" w:tplc="149876A0">
      <w:start w:val="1"/>
      <w:numFmt w:val="bullet"/>
      <w:lvlText w:val="–"/>
      <w:lvlJc w:val="left"/>
      <w:pPr>
        <w:tabs>
          <w:tab w:val="num" w:pos="5040"/>
        </w:tabs>
        <w:ind w:left="5040" w:hanging="360"/>
      </w:pPr>
      <w:rPr>
        <w:rFonts w:ascii="Times New Roman" w:hAnsi="Times New Roman" w:hint="default"/>
      </w:rPr>
    </w:lvl>
    <w:lvl w:ilvl="7" w:tplc="7B6A22F2">
      <w:start w:val="1"/>
      <w:numFmt w:val="bullet"/>
      <w:lvlText w:val="–"/>
      <w:lvlJc w:val="left"/>
      <w:pPr>
        <w:tabs>
          <w:tab w:val="num" w:pos="5760"/>
        </w:tabs>
        <w:ind w:left="5760" w:hanging="360"/>
      </w:pPr>
      <w:rPr>
        <w:rFonts w:ascii="Times New Roman" w:hAnsi="Times New Roman" w:hint="default"/>
      </w:rPr>
    </w:lvl>
    <w:lvl w:ilvl="8" w:tplc="E142203E">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9E60AFA"/>
    <w:multiLevelType w:val="hybridMultilevel"/>
    <w:tmpl w:val="A078C0DC"/>
    <w:lvl w:ilvl="0" w:tplc="5D1A32E0">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E875A8"/>
    <w:multiLevelType w:val="hybridMultilevel"/>
    <w:tmpl w:val="CAEA0184"/>
    <w:lvl w:ilvl="0" w:tplc="55D2D9F2">
      <w:start w:val="4"/>
      <w:numFmt w:val="decimal"/>
      <w:lvlText w:val="%1."/>
      <w:lvlJc w:val="left"/>
      <w:pPr>
        <w:tabs>
          <w:tab w:val="num" w:pos="810"/>
        </w:tabs>
        <w:ind w:left="810" w:hanging="4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66EE72CB"/>
    <w:multiLevelType w:val="hybridMultilevel"/>
    <w:tmpl w:val="F2823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E0117C"/>
    <w:multiLevelType w:val="hybridMultilevel"/>
    <w:tmpl w:val="ECFE8876"/>
    <w:lvl w:ilvl="0" w:tplc="5D1A32E0">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043"/>
        </w:tabs>
        <w:ind w:left="1043" w:hanging="360"/>
      </w:pPr>
      <w:rPr>
        <w:rFonts w:ascii="Courier New" w:hAnsi="Courier New" w:hint="default"/>
      </w:rPr>
    </w:lvl>
    <w:lvl w:ilvl="2" w:tplc="08090005">
      <w:start w:val="1"/>
      <w:numFmt w:val="bullet"/>
      <w:lvlText w:val=""/>
      <w:lvlJc w:val="left"/>
      <w:pPr>
        <w:tabs>
          <w:tab w:val="num" w:pos="1763"/>
        </w:tabs>
        <w:ind w:left="1763" w:hanging="360"/>
      </w:pPr>
      <w:rPr>
        <w:rFonts w:ascii="Wingdings" w:hAnsi="Wingdings" w:hint="default"/>
      </w:rPr>
    </w:lvl>
    <w:lvl w:ilvl="3" w:tplc="08090001">
      <w:start w:val="1"/>
      <w:numFmt w:val="bullet"/>
      <w:lvlText w:val=""/>
      <w:lvlJc w:val="left"/>
      <w:pPr>
        <w:tabs>
          <w:tab w:val="num" w:pos="2483"/>
        </w:tabs>
        <w:ind w:left="2483" w:hanging="360"/>
      </w:pPr>
      <w:rPr>
        <w:rFonts w:ascii="Symbol" w:hAnsi="Symbol" w:hint="default"/>
      </w:rPr>
    </w:lvl>
    <w:lvl w:ilvl="4" w:tplc="08090003">
      <w:start w:val="1"/>
      <w:numFmt w:val="bullet"/>
      <w:lvlText w:val="o"/>
      <w:lvlJc w:val="left"/>
      <w:pPr>
        <w:tabs>
          <w:tab w:val="num" w:pos="3203"/>
        </w:tabs>
        <w:ind w:left="3203" w:hanging="360"/>
      </w:pPr>
      <w:rPr>
        <w:rFonts w:ascii="Courier New" w:hAnsi="Courier New" w:hint="default"/>
      </w:rPr>
    </w:lvl>
    <w:lvl w:ilvl="5" w:tplc="08090005">
      <w:start w:val="1"/>
      <w:numFmt w:val="bullet"/>
      <w:lvlText w:val=""/>
      <w:lvlJc w:val="left"/>
      <w:pPr>
        <w:tabs>
          <w:tab w:val="num" w:pos="3923"/>
        </w:tabs>
        <w:ind w:left="3923" w:hanging="360"/>
      </w:pPr>
      <w:rPr>
        <w:rFonts w:ascii="Wingdings" w:hAnsi="Wingdings" w:hint="default"/>
      </w:rPr>
    </w:lvl>
    <w:lvl w:ilvl="6" w:tplc="08090001">
      <w:start w:val="1"/>
      <w:numFmt w:val="bullet"/>
      <w:lvlText w:val=""/>
      <w:lvlJc w:val="left"/>
      <w:pPr>
        <w:tabs>
          <w:tab w:val="num" w:pos="4643"/>
        </w:tabs>
        <w:ind w:left="4643" w:hanging="360"/>
      </w:pPr>
      <w:rPr>
        <w:rFonts w:ascii="Symbol" w:hAnsi="Symbol" w:hint="default"/>
      </w:rPr>
    </w:lvl>
    <w:lvl w:ilvl="7" w:tplc="08090003">
      <w:start w:val="1"/>
      <w:numFmt w:val="bullet"/>
      <w:lvlText w:val="o"/>
      <w:lvlJc w:val="left"/>
      <w:pPr>
        <w:tabs>
          <w:tab w:val="num" w:pos="5363"/>
        </w:tabs>
        <w:ind w:left="5363" w:hanging="360"/>
      </w:pPr>
      <w:rPr>
        <w:rFonts w:ascii="Courier New" w:hAnsi="Courier New" w:hint="default"/>
      </w:rPr>
    </w:lvl>
    <w:lvl w:ilvl="8" w:tplc="08090005">
      <w:start w:val="1"/>
      <w:numFmt w:val="bullet"/>
      <w:lvlText w:val=""/>
      <w:lvlJc w:val="left"/>
      <w:pPr>
        <w:tabs>
          <w:tab w:val="num" w:pos="6083"/>
        </w:tabs>
        <w:ind w:left="6083" w:hanging="360"/>
      </w:pPr>
      <w:rPr>
        <w:rFonts w:ascii="Wingdings" w:hAnsi="Wingdings" w:hint="default"/>
      </w:rPr>
    </w:lvl>
  </w:abstractNum>
  <w:abstractNum w:abstractNumId="6" w15:restartNumberingAfterBreak="0">
    <w:nsid w:val="7BDC0CA6"/>
    <w:multiLevelType w:val="hybridMultilevel"/>
    <w:tmpl w:val="BC1027F8"/>
    <w:lvl w:ilvl="0" w:tplc="5D1A32E0">
      <w:start w:val="1"/>
      <w:numFmt w:val="bullet"/>
      <w:lvlText w:val=""/>
      <w:lvlJc w:val="left"/>
      <w:pPr>
        <w:tabs>
          <w:tab w:val="num" w:pos="757"/>
        </w:tabs>
        <w:ind w:left="757"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6D"/>
    <w:rsid w:val="000236F4"/>
    <w:rsid w:val="00051770"/>
    <w:rsid w:val="000A6651"/>
    <w:rsid w:val="000B206D"/>
    <w:rsid w:val="00181AB0"/>
    <w:rsid w:val="002F5052"/>
    <w:rsid w:val="0037208A"/>
    <w:rsid w:val="003E43E2"/>
    <w:rsid w:val="004C77D8"/>
    <w:rsid w:val="004E1AD9"/>
    <w:rsid w:val="00706FA0"/>
    <w:rsid w:val="00724F11"/>
    <w:rsid w:val="008061EF"/>
    <w:rsid w:val="00813C31"/>
    <w:rsid w:val="008A6925"/>
    <w:rsid w:val="009B0CA3"/>
    <w:rsid w:val="00A546E6"/>
    <w:rsid w:val="00AB6504"/>
    <w:rsid w:val="00B004D6"/>
    <w:rsid w:val="00B0286E"/>
    <w:rsid w:val="00BB0302"/>
    <w:rsid w:val="00D974A6"/>
    <w:rsid w:val="00DC670A"/>
    <w:rsid w:val="00E340C0"/>
    <w:rsid w:val="00F26FCD"/>
    <w:rsid w:val="00FA7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5D4B98BB-FA5D-4A39-8EFC-305B8800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6D"/>
    <w:pPr>
      <w:overflowPunct w:val="0"/>
      <w:autoSpaceDE w:val="0"/>
      <w:autoSpaceDN w:val="0"/>
      <w:adjustRightInd w:val="0"/>
      <w:textAlignment w:val="baseline"/>
    </w:pPr>
    <w:rPr>
      <w:rFonts w:ascii="Arial" w:hAnsi="Arial" w:cs="Arial"/>
      <w:lang w:eastAsia="en-US"/>
    </w:rPr>
  </w:style>
  <w:style w:type="paragraph" w:styleId="Heading1">
    <w:name w:val="heading 1"/>
    <w:basedOn w:val="Normal"/>
    <w:next w:val="Normal"/>
    <w:link w:val="Heading1Char"/>
    <w:qFormat/>
    <w:rsid w:val="00181A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0B206D"/>
    <w:pPr>
      <w:keepNext/>
      <w:outlineLvl w:val="1"/>
    </w:pPr>
    <w:rPr>
      <w:bCs/>
      <w:i/>
      <w:iCs/>
    </w:rPr>
  </w:style>
  <w:style w:type="paragraph" w:styleId="Heading3">
    <w:name w:val="heading 3"/>
    <w:basedOn w:val="Normal"/>
    <w:next w:val="Normal"/>
    <w:qFormat/>
    <w:rsid w:val="000B206D"/>
    <w:pPr>
      <w:keepNext/>
      <w:outlineLvl w:val="2"/>
    </w:pPr>
    <w:rPr>
      <w:b/>
      <w:i/>
      <w:iCs/>
    </w:rPr>
  </w:style>
  <w:style w:type="paragraph" w:styleId="Heading4">
    <w:name w:val="heading 4"/>
    <w:basedOn w:val="Normal"/>
    <w:next w:val="Normal"/>
    <w:qFormat/>
    <w:rsid w:val="000B206D"/>
    <w:pPr>
      <w:keepNext/>
      <w:jc w:val="right"/>
      <w:outlineLvl w:val="3"/>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206D"/>
    <w:pPr>
      <w:tabs>
        <w:tab w:val="center" w:pos="4153"/>
        <w:tab w:val="right" w:pos="8306"/>
      </w:tabs>
    </w:pPr>
  </w:style>
  <w:style w:type="paragraph" w:styleId="Footer">
    <w:name w:val="footer"/>
    <w:basedOn w:val="Normal"/>
    <w:rsid w:val="000B206D"/>
    <w:pPr>
      <w:tabs>
        <w:tab w:val="center" w:pos="4153"/>
        <w:tab w:val="right" w:pos="8306"/>
      </w:tabs>
    </w:pPr>
  </w:style>
  <w:style w:type="paragraph" w:styleId="BodyText">
    <w:name w:val="Body Text"/>
    <w:basedOn w:val="Normal"/>
    <w:rsid w:val="000B206D"/>
    <w:pPr>
      <w:spacing w:before="120" w:after="120"/>
    </w:pPr>
    <w:rPr>
      <w:b/>
    </w:rPr>
  </w:style>
  <w:style w:type="paragraph" w:styleId="BodyText2">
    <w:name w:val="Body Text 2"/>
    <w:basedOn w:val="Normal"/>
    <w:rsid w:val="000B206D"/>
    <w:pPr>
      <w:jc w:val="both"/>
    </w:pPr>
  </w:style>
  <w:style w:type="paragraph" w:styleId="BodyText3">
    <w:name w:val="Body Text 3"/>
    <w:basedOn w:val="Normal"/>
    <w:rsid w:val="000B206D"/>
    <w:rPr>
      <w:bCs/>
      <w:i/>
      <w:iCs/>
    </w:rPr>
  </w:style>
  <w:style w:type="character" w:styleId="Strong">
    <w:name w:val="Strong"/>
    <w:basedOn w:val="DefaultParagraphFont"/>
    <w:qFormat/>
    <w:rsid w:val="000B206D"/>
    <w:rPr>
      <w:rFonts w:cs="Times New Roman"/>
      <w:b/>
      <w:bCs/>
    </w:rPr>
  </w:style>
  <w:style w:type="paragraph" w:styleId="NormalWeb">
    <w:name w:val="Normal (Web)"/>
    <w:basedOn w:val="Normal"/>
    <w:rsid w:val="000B206D"/>
    <w:pPr>
      <w:overflowPunct/>
      <w:autoSpaceDE/>
      <w:autoSpaceDN/>
      <w:adjustRightInd/>
      <w:spacing w:before="100" w:beforeAutospacing="1" w:after="100" w:afterAutospacing="1" w:line="360" w:lineRule="auto"/>
      <w:textAlignment w:val="auto"/>
    </w:pPr>
    <w:rPr>
      <w:color w:val="000000"/>
      <w:sz w:val="19"/>
      <w:szCs w:val="19"/>
      <w:lang w:eastAsia="en-GB"/>
    </w:rPr>
  </w:style>
  <w:style w:type="paragraph" w:customStyle="1" w:styleId="TableNormalAnswerHelp">
    <w:name w:val="Table Normal Answer Help"/>
    <w:basedOn w:val="Normal"/>
    <w:rsid w:val="000B206D"/>
    <w:pPr>
      <w:overflowPunct/>
      <w:autoSpaceDE/>
      <w:autoSpaceDN/>
      <w:adjustRightInd/>
      <w:spacing w:before="60" w:after="60"/>
      <w:ind w:left="57" w:right="57"/>
      <w:textAlignment w:val="auto"/>
    </w:pPr>
    <w:rPr>
      <w:rFonts w:ascii="Times New Roman" w:hAnsi="Times New Roman" w:cs="Times New Roman"/>
      <w:lang w:eastAsia="en-GB"/>
    </w:rPr>
  </w:style>
  <w:style w:type="paragraph" w:customStyle="1" w:styleId="Normal2">
    <w:name w:val="Normal2"/>
    <w:basedOn w:val="Normal"/>
    <w:rsid w:val="000B206D"/>
    <w:pPr>
      <w:spacing w:before="120"/>
      <w:jc w:val="both"/>
    </w:pPr>
    <w:rPr>
      <w:rFonts w:ascii="Times New Roman" w:hAnsi="Times New Roman" w:cs="Times New Roman"/>
      <w:noProof/>
      <w:sz w:val="24"/>
    </w:rPr>
  </w:style>
  <w:style w:type="paragraph" w:styleId="ListParagraph">
    <w:name w:val="List Paragraph"/>
    <w:basedOn w:val="Normal"/>
    <w:qFormat/>
    <w:rsid w:val="000B206D"/>
    <w:pPr>
      <w:ind w:left="720"/>
    </w:pPr>
  </w:style>
  <w:style w:type="paragraph" w:styleId="BalloonText">
    <w:name w:val="Balloon Text"/>
    <w:basedOn w:val="Normal"/>
    <w:link w:val="BalloonTextChar"/>
    <w:rsid w:val="004E1AD9"/>
    <w:rPr>
      <w:rFonts w:ascii="Tahoma" w:hAnsi="Tahoma" w:cs="Tahoma"/>
      <w:sz w:val="16"/>
      <w:szCs w:val="16"/>
    </w:rPr>
  </w:style>
  <w:style w:type="character" w:customStyle="1" w:styleId="BalloonTextChar">
    <w:name w:val="Balloon Text Char"/>
    <w:basedOn w:val="DefaultParagraphFont"/>
    <w:link w:val="BalloonText"/>
    <w:rsid w:val="004E1AD9"/>
    <w:rPr>
      <w:rFonts w:ascii="Tahoma" w:hAnsi="Tahoma" w:cs="Tahoma"/>
      <w:sz w:val="16"/>
      <w:szCs w:val="16"/>
      <w:lang w:eastAsia="en-US"/>
    </w:rPr>
  </w:style>
  <w:style w:type="character" w:customStyle="1" w:styleId="Heading1Char">
    <w:name w:val="Heading 1 Char"/>
    <w:basedOn w:val="DefaultParagraphFont"/>
    <w:link w:val="Heading1"/>
    <w:rsid w:val="00181AB0"/>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tif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3152</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National Services Scotland</vt:lpstr>
    </vt:vector>
  </TitlesOfParts>
  <Company>NHS National Services Scotland</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Services Scotland</dc:title>
  <dc:creator>Jane Fewsdale</dc:creator>
  <cp:lastModifiedBy>Fiona Kearney</cp:lastModifiedBy>
  <cp:revision>2</cp:revision>
  <dcterms:created xsi:type="dcterms:W3CDTF">2021-02-23T15:12:00Z</dcterms:created>
  <dcterms:modified xsi:type="dcterms:W3CDTF">2021-02-23T15:12:00Z</dcterms:modified>
</cp:coreProperties>
</file>