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1728"/>
        <w:gridCol w:w="6794"/>
      </w:tblGrid>
      <w:tr w:rsidR="00FD6744" w:rsidRPr="00A012AA" w14:paraId="0317AF3D" w14:textId="77777777">
        <w:tc>
          <w:tcPr>
            <w:tcW w:w="8522" w:type="dxa"/>
            <w:gridSpan w:val="2"/>
            <w:shd w:val="clear" w:color="auto" w:fill="3366FF"/>
          </w:tcPr>
          <w:p w14:paraId="0317AF3C" w14:textId="77777777" w:rsidR="00FD6744" w:rsidRPr="00A012AA" w:rsidRDefault="00FD6744">
            <w:pPr>
              <w:rPr>
                <w:color w:val="FFFFFF"/>
              </w:rPr>
            </w:pPr>
            <w:r w:rsidRPr="00A012AA">
              <w:rPr>
                <w:color w:val="FFFFFF"/>
              </w:rPr>
              <w:t>1. Job Details</w:t>
            </w:r>
          </w:p>
        </w:tc>
      </w:tr>
      <w:tr w:rsidR="00FD6744" w:rsidRPr="00A012AA" w14:paraId="0317AF40" w14:textId="77777777">
        <w:tc>
          <w:tcPr>
            <w:tcW w:w="1728" w:type="dxa"/>
          </w:tcPr>
          <w:p w14:paraId="0317AF3E" w14:textId="77777777" w:rsidR="00FD6744" w:rsidRPr="00A012AA" w:rsidRDefault="00FD6744">
            <w:r w:rsidRPr="00A012AA">
              <w:t>Job Title</w:t>
            </w:r>
          </w:p>
        </w:tc>
        <w:tc>
          <w:tcPr>
            <w:tcW w:w="6794" w:type="dxa"/>
          </w:tcPr>
          <w:p w14:paraId="0317AF3F" w14:textId="77777777" w:rsidR="00FD6744" w:rsidRPr="00A012AA" w:rsidRDefault="00EA4748">
            <w:r w:rsidRPr="00A012AA">
              <w:t xml:space="preserve">NSI </w:t>
            </w:r>
            <w:r w:rsidR="004A318C" w:rsidRPr="00A012AA">
              <w:t>Technical Support Analyst</w:t>
            </w:r>
          </w:p>
        </w:tc>
      </w:tr>
      <w:tr w:rsidR="00FD6744" w:rsidRPr="00A012AA" w14:paraId="0317AF43" w14:textId="77777777">
        <w:tc>
          <w:tcPr>
            <w:tcW w:w="1728" w:type="dxa"/>
          </w:tcPr>
          <w:p w14:paraId="0317AF41" w14:textId="77777777" w:rsidR="00FD6744" w:rsidRPr="00A012AA" w:rsidRDefault="00FD6744">
            <w:r w:rsidRPr="00A012AA">
              <w:t>Job Holder</w:t>
            </w:r>
          </w:p>
        </w:tc>
        <w:tc>
          <w:tcPr>
            <w:tcW w:w="6794" w:type="dxa"/>
          </w:tcPr>
          <w:p w14:paraId="0317AF42" w14:textId="77777777" w:rsidR="00FD6744" w:rsidRPr="00A012AA" w:rsidRDefault="00537CBA">
            <w:r w:rsidRPr="00A012AA">
              <w:t>N/A</w:t>
            </w:r>
          </w:p>
        </w:tc>
      </w:tr>
      <w:tr w:rsidR="00FD6744" w:rsidRPr="00A012AA" w14:paraId="0317AF46" w14:textId="77777777">
        <w:tc>
          <w:tcPr>
            <w:tcW w:w="1728" w:type="dxa"/>
          </w:tcPr>
          <w:p w14:paraId="0317AF44" w14:textId="77777777" w:rsidR="00FD6744" w:rsidRPr="00A012AA" w:rsidRDefault="00FD6744">
            <w:r w:rsidRPr="00A012AA">
              <w:t>Line Manager</w:t>
            </w:r>
          </w:p>
        </w:tc>
        <w:tc>
          <w:tcPr>
            <w:tcW w:w="6794" w:type="dxa"/>
          </w:tcPr>
          <w:p w14:paraId="0317AF45" w14:textId="77777777" w:rsidR="00FD6744" w:rsidRPr="00A012AA" w:rsidRDefault="004A318C">
            <w:r w:rsidRPr="00A012AA">
              <w:t>NSI Systems Maintenance Manager</w:t>
            </w:r>
          </w:p>
        </w:tc>
      </w:tr>
      <w:tr w:rsidR="00FD6744" w:rsidRPr="00A012AA" w14:paraId="0317AF49" w14:textId="77777777">
        <w:tc>
          <w:tcPr>
            <w:tcW w:w="1728" w:type="dxa"/>
          </w:tcPr>
          <w:p w14:paraId="0317AF47" w14:textId="77777777" w:rsidR="00FD6744" w:rsidRPr="00A012AA" w:rsidRDefault="00FD6744">
            <w:r w:rsidRPr="00A012AA">
              <w:t>Division</w:t>
            </w:r>
          </w:p>
        </w:tc>
        <w:tc>
          <w:tcPr>
            <w:tcW w:w="6794" w:type="dxa"/>
          </w:tcPr>
          <w:p w14:paraId="0317AF48" w14:textId="77777777" w:rsidR="00FD6744" w:rsidRPr="00A012AA" w:rsidRDefault="004E6D18">
            <w:r>
              <w:t>Finance</w:t>
            </w:r>
          </w:p>
        </w:tc>
      </w:tr>
      <w:tr w:rsidR="00FD6744" w:rsidRPr="00A012AA" w14:paraId="0317AF4C" w14:textId="77777777">
        <w:tc>
          <w:tcPr>
            <w:tcW w:w="1728" w:type="dxa"/>
          </w:tcPr>
          <w:p w14:paraId="0317AF4A" w14:textId="77777777" w:rsidR="00FD6744" w:rsidRPr="00A012AA" w:rsidRDefault="00FD6744">
            <w:r w:rsidRPr="00A012AA">
              <w:t>Location</w:t>
            </w:r>
          </w:p>
        </w:tc>
        <w:tc>
          <w:tcPr>
            <w:tcW w:w="6794" w:type="dxa"/>
          </w:tcPr>
          <w:p w14:paraId="0317AF4B" w14:textId="77777777" w:rsidR="00FD6744" w:rsidRPr="00A012AA" w:rsidRDefault="004E6D18">
            <w:r>
              <w:t>Various in NHS Scotland</w:t>
            </w:r>
          </w:p>
        </w:tc>
      </w:tr>
    </w:tbl>
    <w:p w14:paraId="0317AF4D" w14:textId="77777777" w:rsidR="00EF1B81" w:rsidRPr="00A012AA" w:rsidRDefault="00EF1B81"/>
    <w:tbl>
      <w:tblPr>
        <w:tblStyle w:val="TableGrid"/>
        <w:tblW w:w="0" w:type="auto"/>
        <w:tblLook w:val="01E0" w:firstRow="1" w:lastRow="1" w:firstColumn="1" w:lastColumn="1" w:noHBand="0" w:noVBand="0"/>
      </w:tblPr>
      <w:tblGrid>
        <w:gridCol w:w="8522"/>
      </w:tblGrid>
      <w:tr w:rsidR="00FD6744" w:rsidRPr="00A012AA" w14:paraId="0317AF4F" w14:textId="77777777">
        <w:tc>
          <w:tcPr>
            <w:tcW w:w="8522" w:type="dxa"/>
            <w:shd w:val="clear" w:color="auto" w:fill="3366FF"/>
          </w:tcPr>
          <w:p w14:paraId="0317AF4E" w14:textId="77777777" w:rsidR="00FD6744" w:rsidRPr="00A012AA" w:rsidRDefault="00537CBA" w:rsidP="0038099F">
            <w:pPr>
              <w:jc w:val="both"/>
              <w:rPr>
                <w:color w:val="FFFFFF"/>
              </w:rPr>
            </w:pPr>
            <w:r w:rsidRPr="00A012AA">
              <w:rPr>
                <w:color w:val="FFFFFF"/>
              </w:rPr>
              <w:t xml:space="preserve">2. </w:t>
            </w:r>
            <w:r w:rsidR="00FD6744" w:rsidRPr="00A012AA">
              <w:rPr>
                <w:color w:val="FFFFFF"/>
              </w:rPr>
              <w:t>Job Purpose</w:t>
            </w:r>
          </w:p>
        </w:tc>
      </w:tr>
      <w:tr w:rsidR="00537CBA" w:rsidRPr="00A012AA" w14:paraId="0317AF52" w14:textId="77777777">
        <w:tc>
          <w:tcPr>
            <w:tcW w:w="8522" w:type="dxa"/>
            <w:tcBorders>
              <w:bottom w:val="single" w:sz="4" w:space="0" w:color="auto"/>
            </w:tcBorders>
          </w:tcPr>
          <w:p w14:paraId="0317AF50" w14:textId="57171954" w:rsidR="001D7312" w:rsidRPr="00A012AA" w:rsidRDefault="001D7312" w:rsidP="001D7312">
            <w:pPr>
              <w:jc w:val="both"/>
            </w:pPr>
            <w:r w:rsidRPr="00A012AA">
              <w:t xml:space="preserve">To assist in the management of the Systems Maintenance service delivery area of the NHSS national </w:t>
            </w:r>
            <w:smartTag w:uri="urn:schemas-microsoft-com:office:smarttags" w:element="PersonName">
              <w:r w:rsidRPr="00A012AA">
                <w:t>Finance Systems</w:t>
              </w:r>
            </w:smartTag>
            <w:r w:rsidRPr="00A012AA">
              <w:t xml:space="preserve"> Business Suite on behalf of its users. When deputising for the System </w:t>
            </w:r>
            <w:r w:rsidR="007E3FE5" w:rsidRPr="00A012AA">
              <w:t>Maintenance</w:t>
            </w:r>
            <w:r w:rsidRPr="00A012AA">
              <w:t xml:space="preserve"> Manager, supervise the team and liaise with users/customers regarding their service requirements and with related </w:t>
            </w:r>
            <w:r w:rsidR="00B84D18" w:rsidRPr="00A012AA">
              <w:t>third-party</w:t>
            </w:r>
            <w:r w:rsidRPr="00A012AA">
              <w:t xml:space="preserve"> vendors/service providers in pursuance of the objectives set out in the Service Agreements with the Boards. Deliver high quality services to users regarding system stability, continuity and performance; manage NHS</w:t>
            </w:r>
            <w:r w:rsidR="00B84D18">
              <w:t xml:space="preserve"> </w:t>
            </w:r>
            <w:r w:rsidRPr="00A012AA">
              <w:t xml:space="preserve">Scotland’s standing data; and, effective and efficient problem resolution in accordance with the business requirements of all NHSS Boards. </w:t>
            </w:r>
          </w:p>
          <w:p w14:paraId="0317AF51" w14:textId="2C337DDD" w:rsidR="00537CBA" w:rsidRPr="00A012AA" w:rsidRDefault="00537CBA" w:rsidP="001D7312">
            <w:pPr>
              <w:jc w:val="both"/>
            </w:pPr>
          </w:p>
        </w:tc>
      </w:tr>
      <w:tr w:rsidR="00FD6744" w:rsidRPr="00A012AA" w14:paraId="0317AF54" w14:textId="77777777">
        <w:tc>
          <w:tcPr>
            <w:tcW w:w="8522" w:type="dxa"/>
            <w:shd w:val="clear" w:color="auto" w:fill="3366FF"/>
          </w:tcPr>
          <w:p w14:paraId="0317AF53" w14:textId="77777777" w:rsidR="00FD6744" w:rsidRPr="00A012AA" w:rsidRDefault="00537CBA" w:rsidP="0038099F">
            <w:pPr>
              <w:jc w:val="both"/>
              <w:rPr>
                <w:color w:val="FFFFFF"/>
              </w:rPr>
            </w:pPr>
            <w:r w:rsidRPr="00A012AA">
              <w:rPr>
                <w:color w:val="FFFFFF"/>
              </w:rPr>
              <w:t xml:space="preserve">3. </w:t>
            </w:r>
            <w:r w:rsidR="00FD6744" w:rsidRPr="00A012AA">
              <w:rPr>
                <w:color w:val="FFFFFF"/>
              </w:rPr>
              <w:t>Dimensions</w:t>
            </w:r>
          </w:p>
        </w:tc>
      </w:tr>
      <w:tr w:rsidR="00537CBA" w:rsidRPr="00A012AA" w14:paraId="0317AF7D" w14:textId="77777777">
        <w:tc>
          <w:tcPr>
            <w:tcW w:w="8522" w:type="dxa"/>
            <w:tcBorders>
              <w:bottom w:val="single" w:sz="4" w:space="0" w:color="auto"/>
            </w:tcBorders>
          </w:tcPr>
          <w:p w14:paraId="0317AF55" w14:textId="77777777" w:rsidR="00786AD4" w:rsidRPr="00A012AA" w:rsidRDefault="00972C7B" w:rsidP="0038099F">
            <w:pPr>
              <w:jc w:val="both"/>
            </w:pPr>
            <w:r w:rsidRPr="00A012AA">
              <w:t>This is a national service providing finance and business systems to all 22 NHS Scotland Health Boards</w:t>
            </w:r>
            <w:r w:rsidR="00D57496" w:rsidRPr="00A012AA">
              <w:t xml:space="preserve"> and is described in </w:t>
            </w:r>
            <w:r w:rsidR="00BF299B" w:rsidRPr="00A012AA">
              <w:t xml:space="preserve">full in </w:t>
            </w:r>
            <w:r w:rsidR="00D57496" w:rsidRPr="00A012AA">
              <w:t xml:space="preserve">the </w:t>
            </w:r>
            <w:r w:rsidR="000A32C0" w:rsidRPr="00A012AA">
              <w:t>Service Agreement with Health Boards</w:t>
            </w:r>
            <w:r w:rsidR="009141D0" w:rsidRPr="00A012AA">
              <w:t xml:space="preserve">. </w:t>
            </w:r>
          </w:p>
          <w:p w14:paraId="0317AF56" w14:textId="77777777" w:rsidR="00972C7B" w:rsidRPr="00A012AA" w:rsidRDefault="00FC5340" w:rsidP="0038099F">
            <w:pPr>
              <w:jc w:val="both"/>
            </w:pPr>
            <w:r w:rsidRPr="00A012AA">
              <w:t xml:space="preserve">There will be approximately </w:t>
            </w:r>
            <w:r w:rsidR="001C2B89" w:rsidRPr="00A012AA">
              <w:t xml:space="preserve">800 </w:t>
            </w:r>
            <w:r w:rsidRPr="00A012AA">
              <w:t xml:space="preserve">concurrent users of the systems once all Boards have migrated to the National Service in </w:t>
            </w:r>
            <w:r w:rsidR="001F3DBA" w:rsidRPr="00A012AA">
              <w:t>Q1</w:t>
            </w:r>
            <w:r w:rsidRPr="00A012AA">
              <w:t xml:space="preserve"> 2013</w:t>
            </w:r>
            <w:r w:rsidR="001F3DBA" w:rsidRPr="00A012AA">
              <w:t>/14</w:t>
            </w:r>
            <w:r w:rsidRPr="00A012AA">
              <w:t xml:space="preserve"> </w:t>
            </w:r>
            <w:r w:rsidR="00394B69" w:rsidRPr="00A012AA">
              <w:t xml:space="preserve">and these will be </w:t>
            </w:r>
            <w:r w:rsidRPr="00A012AA">
              <w:t xml:space="preserve">located widely throughout </w:t>
            </w:r>
            <w:smartTag w:uri="urn:schemas-microsoft-com:office:smarttags" w:element="place">
              <w:smartTag w:uri="urn:schemas-microsoft-com:office:smarttags" w:element="country-region">
                <w:r w:rsidRPr="00A012AA">
                  <w:t>Scotland</w:t>
                </w:r>
              </w:smartTag>
            </w:smartTag>
            <w:r w:rsidRPr="00A012AA">
              <w:t xml:space="preserve">. </w:t>
            </w:r>
          </w:p>
          <w:p w14:paraId="0317AF57" w14:textId="77777777" w:rsidR="00972C7B" w:rsidRPr="00A012AA" w:rsidRDefault="00972C7B" w:rsidP="0038099F">
            <w:pPr>
              <w:jc w:val="both"/>
            </w:pPr>
            <w:r w:rsidRPr="00A012AA">
              <w:t xml:space="preserve">Per annum transaction volumes </w:t>
            </w:r>
            <w:r w:rsidR="00A0402D" w:rsidRPr="00A012AA">
              <w:t xml:space="preserve">after final Board migrations </w:t>
            </w:r>
            <w:r w:rsidRPr="00A012AA">
              <w:t xml:space="preserve">are anticipated as follows: </w:t>
            </w:r>
          </w:p>
          <w:tbl>
            <w:tblPr>
              <w:tblStyle w:val="TableGrid"/>
              <w:tblW w:w="0" w:type="auto"/>
              <w:tblLook w:val="01E0" w:firstRow="1" w:lastRow="1" w:firstColumn="1" w:lastColumn="1" w:noHBand="0" w:noVBand="0"/>
            </w:tblPr>
            <w:tblGrid>
              <w:gridCol w:w="4145"/>
              <w:gridCol w:w="1250"/>
            </w:tblGrid>
            <w:tr w:rsidR="001D7312" w:rsidRPr="00A012AA" w14:paraId="0317AF5A" w14:textId="77777777">
              <w:tc>
                <w:tcPr>
                  <w:tcW w:w="4145" w:type="dxa"/>
                </w:tcPr>
                <w:p w14:paraId="0317AF58" w14:textId="77777777" w:rsidR="001D7312" w:rsidRPr="00A012AA" w:rsidRDefault="001D7312" w:rsidP="001D7312">
                  <w:pPr>
                    <w:spacing w:before="0" w:after="0"/>
                    <w:jc w:val="both"/>
                  </w:pPr>
                  <w:r w:rsidRPr="00A012AA">
                    <w:t xml:space="preserve">No. of Suppliers                                                 </w:t>
                  </w:r>
                </w:p>
              </w:tc>
              <w:tc>
                <w:tcPr>
                  <w:tcW w:w="1250" w:type="dxa"/>
                </w:tcPr>
                <w:p w14:paraId="0317AF59" w14:textId="77777777" w:rsidR="001D7312" w:rsidRPr="00A012AA" w:rsidRDefault="001D7312" w:rsidP="001D7312">
                  <w:pPr>
                    <w:spacing w:before="0" w:after="0"/>
                    <w:jc w:val="right"/>
                  </w:pPr>
                  <w:r w:rsidRPr="00A012AA">
                    <w:t>120,000</w:t>
                  </w:r>
                </w:p>
              </w:tc>
            </w:tr>
            <w:tr w:rsidR="001D7312" w:rsidRPr="00A012AA" w14:paraId="0317AF5D" w14:textId="77777777">
              <w:tc>
                <w:tcPr>
                  <w:tcW w:w="4145" w:type="dxa"/>
                </w:tcPr>
                <w:p w14:paraId="0317AF5B" w14:textId="77777777" w:rsidR="001D7312" w:rsidRPr="00A012AA" w:rsidRDefault="001D7312" w:rsidP="001D7312">
                  <w:pPr>
                    <w:spacing w:before="0" w:after="0"/>
                    <w:jc w:val="both"/>
                  </w:pPr>
                  <w:r w:rsidRPr="00A012AA">
                    <w:t xml:space="preserve">No of helpdesk incidents/change requests </w:t>
                  </w:r>
                </w:p>
              </w:tc>
              <w:tc>
                <w:tcPr>
                  <w:tcW w:w="1250" w:type="dxa"/>
                </w:tcPr>
                <w:p w14:paraId="0317AF5C" w14:textId="77777777" w:rsidR="001D7312" w:rsidRPr="00A012AA" w:rsidRDefault="001D7312" w:rsidP="001D7312">
                  <w:pPr>
                    <w:spacing w:before="0" w:after="0"/>
                    <w:jc w:val="right"/>
                  </w:pPr>
                  <w:r w:rsidRPr="00A012AA">
                    <w:t>100,000</w:t>
                  </w:r>
                </w:p>
              </w:tc>
            </w:tr>
            <w:tr w:rsidR="001D7312" w:rsidRPr="00A012AA" w14:paraId="0317AF60" w14:textId="77777777">
              <w:tc>
                <w:tcPr>
                  <w:tcW w:w="4145" w:type="dxa"/>
                </w:tcPr>
                <w:p w14:paraId="0317AF5E" w14:textId="77777777" w:rsidR="001D7312" w:rsidRPr="00A012AA" w:rsidRDefault="001D7312" w:rsidP="001D7312">
                  <w:pPr>
                    <w:spacing w:before="0" w:after="0"/>
                    <w:jc w:val="both"/>
                  </w:pPr>
                  <w:r w:rsidRPr="00A012AA">
                    <w:t xml:space="preserve">Purchase Ledger Invoices processed </w:t>
                  </w:r>
                </w:p>
              </w:tc>
              <w:tc>
                <w:tcPr>
                  <w:tcW w:w="1250" w:type="dxa"/>
                </w:tcPr>
                <w:p w14:paraId="0317AF5F" w14:textId="77777777" w:rsidR="001D7312" w:rsidRPr="00A012AA" w:rsidRDefault="001D7312" w:rsidP="001D7312">
                  <w:pPr>
                    <w:spacing w:before="0" w:after="0"/>
                    <w:jc w:val="right"/>
                  </w:pPr>
                  <w:r w:rsidRPr="00A012AA">
                    <w:t>2,300,000</w:t>
                  </w:r>
                </w:p>
              </w:tc>
            </w:tr>
            <w:tr w:rsidR="001D7312" w:rsidRPr="00A012AA" w14:paraId="0317AF63" w14:textId="77777777">
              <w:tc>
                <w:tcPr>
                  <w:tcW w:w="4145" w:type="dxa"/>
                </w:tcPr>
                <w:p w14:paraId="0317AF61" w14:textId="77777777" w:rsidR="001D7312" w:rsidRPr="00A012AA" w:rsidRDefault="001D7312" w:rsidP="001D7312">
                  <w:pPr>
                    <w:spacing w:before="0" w:after="0"/>
                    <w:jc w:val="both"/>
                  </w:pPr>
                  <w:r w:rsidRPr="00A012AA">
                    <w:t>Purchase Orders raised</w:t>
                  </w:r>
                </w:p>
              </w:tc>
              <w:tc>
                <w:tcPr>
                  <w:tcW w:w="1250" w:type="dxa"/>
                </w:tcPr>
                <w:p w14:paraId="0317AF62" w14:textId="77777777" w:rsidR="001D7312" w:rsidRPr="00A012AA" w:rsidRDefault="001D7312" w:rsidP="001D7312">
                  <w:pPr>
                    <w:spacing w:before="0" w:after="0"/>
                    <w:jc w:val="right"/>
                  </w:pPr>
                  <w:r w:rsidRPr="00A012AA">
                    <w:t>1,800,000</w:t>
                  </w:r>
                </w:p>
              </w:tc>
            </w:tr>
            <w:tr w:rsidR="001D7312" w:rsidRPr="00A012AA" w14:paraId="0317AF66" w14:textId="77777777">
              <w:tc>
                <w:tcPr>
                  <w:tcW w:w="4145" w:type="dxa"/>
                </w:tcPr>
                <w:p w14:paraId="0317AF64" w14:textId="77777777" w:rsidR="001D7312" w:rsidRPr="00A012AA" w:rsidRDefault="001D7312" w:rsidP="001D7312">
                  <w:pPr>
                    <w:spacing w:before="0" w:after="0"/>
                    <w:jc w:val="both"/>
                  </w:pPr>
                  <w:r w:rsidRPr="00A012AA">
                    <w:t>No. of Customers</w:t>
                  </w:r>
                </w:p>
              </w:tc>
              <w:tc>
                <w:tcPr>
                  <w:tcW w:w="1250" w:type="dxa"/>
                </w:tcPr>
                <w:p w14:paraId="0317AF65" w14:textId="77777777" w:rsidR="001D7312" w:rsidRPr="00A012AA" w:rsidRDefault="001D7312" w:rsidP="001D7312">
                  <w:pPr>
                    <w:spacing w:before="0" w:after="0"/>
                    <w:jc w:val="right"/>
                  </w:pPr>
                  <w:r w:rsidRPr="00A012AA">
                    <w:t>60,000</w:t>
                  </w:r>
                </w:p>
              </w:tc>
            </w:tr>
            <w:tr w:rsidR="001D7312" w:rsidRPr="00A012AA" w14:paraId="0317AF69" w14:textId="77777777">
              <w:tc>
                <w:tcPr>
                  <w:tcW w:w="4145" w:type="dxa"/>
                </w:tcPr>
                <w:p w14:paraId="0317AF67" w14:textId="77777777" w:rsidR="001D7312" w:rsidRPr="00A012AA" w:rsidRDefault="001D7312" w:rsidP="001D7312">
                  <w:pPr>
                    <w:spacing w:before="0" w:after="0"/>
                    <w:jc w:val="both"/>
                  </w:pPr>
                  <w:r w:rsidRPr="00A012AA">
                    <w:t xml:space="preserve">Sales Ledger Invoices raised                                    </w:t>
                  </w:r>
                </w:p>
              </w:tc>
              <w:tc>
                <w:tcPr>
                  <w:tcW w:w="1250" w:type="dxa"/>
                </w:tcPr>
                <w:p w14:paraId="0317AF68" w14:textId="77777777" w:rsidR="001D7312" w:rsidRPr="00A012AA" w:rsidRDefault="001D7312" w:rsidP="001D7312">
                  <w:pPr>
                    <w:spacing w:before="0" w:after="0"/>
                    <w:jc w:val="right"/>
                  </w:pPr>
                  <w:r w:rsidRPr="00A012AA">
                    <w:t>140,000</w:t>
                  </w:r>
                </w:p>
              </w:tc>
            </w:tr>
            <w:tr w:rsidR="001D7312" w:rsidRPr="00A012AA" w14:paraId="0317AF6C" w14:textId="77777777">
              <w:tc>
                <w:tcPr>
                  <w:tcW w:w="4145" w:type="dxa"/>
                </w:tcPr>
                <w:p w14:paraId="0317AF6A" w14:textId="77777777" w:rsidR="001D7312" w:rsidRPr="00A012AA" w:rsidRDefault="001D7312" w:rsidP="001D7312">
                  <w:pPr>
                    <w:spacing w:before="0" w:after="0"/>
                    <w:jc w:val="both"/>
                  </w:pPr>
                  <w:r w:rsidRPr="00A012AA">
                    <w:t>No. of Bank Transactions</w:t>
                  </w:r>
                </w:p>
              </w:tc>
              <w:tc>
                <w:tcPr>
                  <w:tcW w:w="1250" w:type="dxa"/>
                </w:tcPr>
                <w:p w14:paraId="0317AF6B" w14:textId="77777777" w:rsidR="001D7312" w:rsidRPr="00A012AA" w:rsidRDefault="001D7312" w:rsidP="001D7312">
                  <w:pPr>
                    <w:spacing w:before="0" w:after="0"/>
                    <w:jc w:val="right"/>
                  </w:pPr>
                  <w:r w:rsidRPr="00A012AA">
                    <w:t>750,000</w:t>
                  </w:r>
                </w:p>
              </w:tc>
            </w:tr>
            <w:tr w:rsidR="001D7312" w:rsidRPr="00A012AA" w14:paraId="0317AF6F" w14:textId="77777777">
              <w:tc>
                <w:tcPr>
                  <w:tcW w:w="4145" w:type="dxa"/>
                </w:tcPr>
                <w:p w14:paraId="0317AF6D" w14:textId="77777777" w:rsidR="001D7312" w:rsidRPr="00A012AA" w:rsidRDefault="001D7312" w:rsidP="001D7312">
                  <w:pPr>
                    <w:spacing w:before="0" w:after="0"/>
                    <w:jc w:val="both"/>
                  </w:pPr>
                  <w:r w:rsidRPr="00A012AA">
                    <w:t>Annual Value of ATOS MTS contract</w:t>
                  </w:r>
                </w:p>
              </w:tc>
              <w:tc>
                <w:tcPr>
                  <w:tcW w:w="1250" w:type="dxa"/>
                </w:tcPr>
                <w:p w14:paraId="0317AF6E" w14:textId="77777777" w:rsidR="001D7312" w:rsidRPr="00A012AA" w:rsidRDefault="001D7312" w:rsidP="001D7312">
                  <w:pPr>
                    <w:spacing w:before="0" w:after="0"/>
                    <w:jc w:val="right"/>
                  </w:pPr>
                  <w:r w:rsidRPr="00A012AA">
                    <w:t>£465,000</w:t>
                  </w:r>
                </w:p>
              </w:tc>
            </w:tr>
            <w:tr w:rsidR="001D7312" w:rsidRPr="00A012AA" w14:paraId="0317AF72" w14:textId="77777777">
              <w:tc>
                <w:tcPr>
                  <w:tcW w:w="4145" w:type="dxa"/>
                </w:tcPr>
                <w:p w14:paraId="0317AF70" w14:textId="77777777" w:rsidR="001D7312" w:rsidRPr="00A012AA" w:rsidRDefault="001D7312" w:rsidP="001D7312">
                  <w:pPr>
                    <w:spacing w:before="0" w:after="0"/>
                    <w:jc w:val="both"/>
                  </w:pPr>
                  <w:r w:rsidRPr="00A012AA">
                    <w:t>Annual Value of ABS maintenance contract</w:t>
                  </w:r>
                </w:p>
              </w:tc>
              <w:tc>
                <w:tcPr>
                  <w:tcW w:w="1250" w:type="dxa"/>
                </w:tcPr>
                <w:p w14:paraId="0317AF71" w14:textId="77777777" w:rsidR="001D7312" w:rsidRPr="00A012AA" w:rsidRDefault="001D7312" w:rsidP="001D7312">
                  <w:pPr>
                    <w:spacing w:before="0" w:after="0"/>
                    <w:jc w:val="right"/>
                  </w:pPr>
                  <w:r w:rsidRPr="00A012AA">
                    <w:t>£780,000</w:t>
                  </w:r>
                </w:p>
              </w:tc>
            </w:tr>
            <w:tr w:rsidR="001D7312" w:rsidRPr="00A012AA" w14:paraId="0317AF75" w14:textId="77777777">
              <w:tc>
                <w:tcPr>
                  <w:tcW w:w="4145" w:type="dxa"/>
                </w:tcPr>
                <w:p w14:paraId="0317AF73" w14:textId="77777777" w:rsidR="001D7312" w:rsidRPr="00A012AA" w:rsidRDefault="001D7312" w:rsidP="001D7312">
                  <w:pPr>
                    <w:spacing w:before="0" w:after="0"/>
                    <w:jc w:val="both"/>
                  </w:pPr>
                  <w:r w:rsidRPr="00A012AA">
                    <w:t>Annual Value of the BIG contract</w:t>
                  </w:r>
                </w:p>
              </w:tc>
              <w:tc>
                <w:tcPr>
                  <w:tcW w:w="1250" w:type="dxa"/>
                </w:tcPr>
                <w:p w14:paraId="0317AF74" w14:textId="77777777" w:rsidR="001D7312" w:rsidRPr="00A012AA" w:rsidRDefault="001D7312" w:rsidP="001D7312">
                  <w:pPr>
                    <w:spacing w:before="0" w:after="0"/>
                    <w:jc w:val="right"/>
                  </w:pPr>
                  <w:r w:rsidRPr="00A012AA">
                    <w:t>£80,000</w:t>
                  </w:r>
                </w:p>
              </w:tc>
            </w:tr>
            <w:tr w:rsidR="001D7312" w:rsidRPr="00A012AA" w14:paraId="0317AF78" w14:textId="77777777">
              <w:tc>
                <w:tcPr>
                  <w:tcW w:w="4145" w:type="dxa"/>
                </w:tcPr>
                <w:p w14:paraId="0317AF76" w14:textId="77777777" w:rsidR="001D7312" w:rsidRPr="00A012AA" w:rsidRDefault="001D7312" w:rsidP="001D7312">
                  <w:pPr>
                    <w:spacing w:before="0" w:after="0"/>
                    <w:jc w:val="both"/>
                  </w:pPr>
                  <w:r w:rsidRPr="00A012AA">
                    <w:t>Annual Cost of Staffing</w:t>
                  </w:r>
                </w:p>
              </w:tc>
              <w:tc>
                <w:tcPr>
                  <w:tcW w:w="1250" w:type="dxa"/>
                </w:tcPr>
                <w:p w14:paraId="0317AF77" w14:textId="77777777" w:rsidR="001D7312" w:rsidRPr="00A012AA" w:rsidRDefault="001D7312" w:rsidP="001D7312">
                  <w:pPr>
                    <w:spacing w:before="0" w:after="0"/>
                    <w:jc w:val="right"/>
                  </w:pPr>
                  <w:r w:rsidRPr="00A012AA">
                    <w:t>£800,000</w:t>
                  </w:r>
                </w:p>
              </w:tc>
            </w:tr>
          </w:tbl>
          <w:p w14:paraId="0317AF79" w14:textId="77777777" w:rsidR="000A32C0" w:rsidRPr="00A012AA" w:rsidRDefault="000A32C0" w:rsidP="00EA4748">
            <w:pPr>
              <w:jc w:val="both"/>
            </w:pPr>
          </w:p>
          <w:p w14:paraId="0317AF7A" w14:textId="77777777" w:rsidR="00005B17" w:rsidRPr="00A012AA" w:rsidRDefault="00005B17" w:rsidP="00EA4748">
            <w:pPr>
              <w:jc w:val="both"/>
            </w:pPr>
          </w:p>
          <w:p w14:paraId="0317AF7B" w14:textId="77777777" w:rsidR="00005B17" w:rsidRPr="00A012AA" w:rsidRDefault="00005B17" w:rsidP="00EA4748">
            <w:pPr>
              <w:jc w:val="both"/>
            </w:pPr>
          </w:p>
          <w:p w14:paraId="0317AF7C" w14:textId="77777777" w:rsidR="001F3DBA" w:rsidRPr="00A012AA" w:rsidRDefault="001F3DBA" w:rsidP="00EA4748">
            <w:pPr>
              <w:jc w:val="both"/>
            </w:pPr>
            <w:r w:rsidRPr="00A012AA">
              <w:t xml:space="preserve"> </w:t>
            </w:r>
            <w:r w:rsidR="00786AD4" w:rsidRPr="00A012AA">
              <w:t xml:space="preserve"> </w:t>
            </w:r>
          </w:p>
        </w:tc>
      </w:tr>
      <w:tr w:rsidR="00FD6744" w:rsidRPr="00A012AA" w14:paraId="0317AF7F" w14:textId="77777777">
        <w:tc>
          <w:tcPr>
            <w:tcW w:w="8522" w:type="dxa"/>
            <w:shd w:val="clear" w:color="auto" w:fill="3366FF"/>
          </w:tcPr>
          <w:p w14:paraId="0317AF7E" w14:textId="77777777" w:rsidR="00FD6744" w:rsidRPr="00A012AA" w:rsidRDefault="00537CBA" w:rsidP="0038099F">
            <w:pPr>
              <w:jc w:val="both"/>
              <w:rPr>
                <w:color w:val="FFFFFF"/>
              </w:rPr>
            </w:pPr>
            <w:r w:rsidRPr="00A012AA">
              <w:rPr>
                <w:color w:val="FFFFFF"/>
              </w:rPr>
              <w:t xml:space="preserve">4. </w:t>
            </w:r>
            <w:r w:rsidR="00FD6744" w:rsidRPr="00A012AA">
              <w:rPr>
                <w:color w:val="FFFFFF"/>
              </w:rPr>
              <w:t>Organisation Chart</w:t>
            </w:r>
          </w:p>
        </w:tc>
      </w:tr>
      <w:tr w:rsidR="00537CBA" w:rsidRPr="00A012AA" w14:paraId="0317AF82" w14:textId="77777777">
        <w:tc>
          <w:tcPr>
            <w:tcW w:w="8522" w:type="dxa"/>
            <w:tcBorders>
              <w:bottom w:val="single" w:sz="4" w:space="0" w:color="auto"/>
            </w:tcBorders>
          </w:tcPr>
          <w:p w14:paraId="0317AF80" w14:textId="6F00C605" w:rsidR="005D4E27" w:rsidRPr="00A012AA" w:rsidRDefault="00B84D18" w:rsidP="005D4E27">
            <w:pPr>
              <w:jc w:val="center"/>
            </w:pPr>
            <w:r>
              <w:object w:dxaOrig="16477" w:dyaOrig="10777" w14:anchorId="7D69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85pt;height:269.55pt" o:ole="">
                  <v:imagedata r:id="rId10" o:title=""/>
                </v:shape>
                <o:OLEObject Type="Embed" ProgID="Visio.Drawing.15" ShapeID="_x0000_i1025" DrawAspect="Content" ObjectID="_1745672324" r:id="rId11"/>
              </w:object>
            </w:r>
          </w:p>
          <w:p w14:paraId="0317AF81" w14:textId="77777777" w:rsidR="00537CBA" w:rsidRPr="00A012AA" w:rsidRDefault="00DC5223" w:rsidP="0038099F">
            <w:pPr>
              <w:jc w:val="both"/>
              <w:rPr>
                <w:i/>
              </w:rPr>
            </w:pPr>
            <w:r w:rsidRPr="00A012AA">
              <w:rPr>
                <w:i/>
              </w:rPr>
              <w:t xml:space="preserve">The posts to which this Job Description relates are highlighted in the chart above. </w:t>
            </w:r>
          </w:p>
        </w:tc>
      </w:tr>
      <w:tr w:rsidR="00FD6744" w:rsidRPr="00A012AA" w14:paraId="0317AF84" w14:textId="77777777">
        <w:tc>
          <w:tcPr>
            <w:tcW w:w="8522" w:type="dxa"/>
            <w:shd w:val="clear" w:color="auto" w:fill="3366FF"/>
          </w:tcPr>
          <w:p w14:paraId="0317AF83" w14:textId="77777777" w:rsidR="00FD6744" w:rsidRPr="00A012AA" w:rsidRDefault="00537CBA" w:rsidP="0038099F">
            <w:pPr>
              <w:jc w:val="both"/>
              <w:rPr>
                <w:color w:val="FFFFFF"/>
              </w:rPr>
            </w:pPr>
            <w:r w:rsidRPr="00A012AA">
              <w:rPr>
                <w:color w:val="FFFFFF"/>
              </w:rPr>
              <w:t>5. Role of the Department</w:t>
            </w:r>
          </w:p>
        </w:tc>
      </w:tr>
      <w:tr w:rsidR="00537CBA" w:rsidRPr="00A012AA" w14:paraId="0317AF97" w14:textId="77777777">
        <w:tc>
          <w:tcPr>
            <w:tcW w:w="8522" w:type="dxa"/>
            <w:tcBorders>
              <w:bottom w:val="single" w:sz="4" w:space="0" w:color="auto"/>
            </w:tcBorders>
          </w:tcPr>
          <w:p w14:paraId="0317AF85" w14:textId="77777777" w:rsidR="008542FA" w:rsidRPr="00A012AA" w:rsidRDefault="00AB5DD2" w:rsidP="0038099F">
            <w:pPr>
              <w:jc w:val="both"/>
            </w:pPr>
            <w:r w:rsidRPr="00A012AA">
              <w:t xml:space="preserve">The national strategy for </w:t>
            </w:r>
            <w:smartTag w:uri="urn:schemas-microsoft-com:office:smarttags" w:element="PersonName">
              <w:r w:rsidRPr="00A012AA">
                <w:t>Finance Systems</w:t>
              </w:r>
            </w:smartTag>
            <w:r w:rsidRPr="00A012AA">
              <w:t xml:space="preserve"> </w:t>
            </w:r>
            <w:r w:rsidR="008542FA" w:rsidRPr="00A012AA">
              <w:t xml:space="preserve">in NHSS was agreed by the </w:t>
            </w:r>
            <w:r w:rsidR="009638AE" w:rsidRPr="00A012AA">
              <w:t xml:space="preserve">all 22 </w:t>
            </w:r>
            <w:r w:rsidR="008542FA" w:rsidRPr="00A012AA">
              <w:t>Health Boards’ Directors of Finance in April 2011, the key features of which are</w:t>
            </w:r>
            <w:r w:rsidR="00E45F8A" w:rsidRPr="00A012AA">
              <w:t xml:space="preserve"> now</w:t>
            </w:r>
            <w:r w:rsidR="008542FA" w:rsidRPr="00A012AA">
              <w:t>:</w:t>
            </w:r>
          </w:p>
          <w:p w14:paraId="0317AF86" w14:textId="77777777" w:rsidR="008542FA" w:rsidRPr="00A012AA" w:rsidRDefault="008542FA" w:rsidP="0038099F">
            <w:pPr>
              <w:numPr>
                <w:ilvl w:val="0"/>
                <w:numId w:val="2"/>
              </w:numPr>
              <w:jc w:val="both"/>
            </w:pPr>
            <w:r w:rsidRPr="00A012AA">
              <w:t xml:space="preserve">a common software application suite for all Boards; ABS </w:t>
            </w:r>
            <w:proofErr w:type="spellStart"/>
            <w:r w:rsidRPr="00A012AA">
              <w:t>Ltd’s</w:t>
            </w:r>
            <w:proofErr w:type="spellEnd"/>
            <w:r w:rsidRPr="00A012AA">
              <w:t xml:space="preserve"> </w:t>
            </w:r>
            <w:proofErr w:type="spellStart"/>
            <w:r w:rsidRPr="00A012AA">
              <w:t>eFinancials</w:t>
            </w:r>
            <w:proofErr w:type="spellEnd"/>
            <w:r w:rsidRPr="00A012AA">
              <w:t xml:space="preserve"> Business Suite.</w:t>
            </w:r>
          </w:p>
          <w:p w14:paraId="0317AF87" w14:textId="77777777" w:rsidR="008542FA" w:rsidRPr="00A012AA" w:rsidRDefault="008542FA" w:rsidP="0038099F">
            <w:pPr>
              <w:numPr>
                <w:ilvl w:val="0"/>
                <w:numId w:val="2"/>
              </w:numPr>
              <w:jc w:val="both"/>
            </w:pPr>
            <w:r w:rsidRPr="00A012AA">
              <w:t xml:space="preserve">a common hosting solution for all Boards; using the ATOS national framework agreement </w:t>
            </w:r>
            <w:r w:rsidR="00E45F8A" w:rsidRPr="00A012AA">
              <w:t xml:space="preserve">delivered </w:t>
            </w:r>
            <w:r w:rsidRPr="00A012AA">
              <w:t xml:space="preserve">from its Livingston Data Centre. </w:t>
            </w:r>
          </w:p>
          <w:p w14:paraId="0317AF88" w14:textId="77777777" w:rsidR="00AB5DD2" w:rsidRPr="00A012AA" w:rsidRDefault="008542FA" w:rsidP="0038099F">
            <w:pPr>
              <w:numPr>
                <w:ilvl w:val="0"/>
                <w:numId w:val="2"/>
              </w:numPr>
              <w:jc w:val="both"/>
            </w:pPr>
            <w:r w:rsidRPr="00A012AA">
              <w:t xml:space="preserve">a common instance of the application using multi-company functionality to allow Boards </w:t>
            </w:r>
            <w:r w:rsidR="00E45F8A" w:rsidRPr="00A012AA">
              <w:t xml:space="preserve">the flexibility </w:t>
            </w:r>
            <w:r w:rsidRPr="00A012AA">
              <w:t xml:space="preserve">to manage their finances independently of each other </w:t>
            </w:r>
            <w:r w:rsidR="00E45F8A" w:rsidRPr="00A012AA">
              <w:t xml:space="preserve">yet with the option for them </w:t>
            </w:r>
            <w:r w:rsidRPr="00A012AA">
              <w:t xml:space="preserve">to </w:t>
            </w:r>
            <w:r w:rsidR="00E45F8A" w:rsidRPr="00A012AA">
              <w:t>develop ‘shared services’</w:t>
            </w:r>
          </w:p>
          <w:p w14:paraId="0317AF89" w14:textId="77777777" w:rsidR="00E45F8A" w:rsidRPr="00A012AA" w:rsidRDefault="00E45F8A" w:rsidP="0038099F">
            <w:pPr>
              <w:numPr>
                <w:ilvl w:val="0"/>
                <w:numId w:val="2"/>
              </w:numPr>
              <w:jc w:val="both"/>
            </w:pPr>
            <w:r w:rsidRPr="00A012AA">
              <w:t xml:space="preserve">and consequently, a national ‘in house’ application support team; the National </w:t>
            </w:r>
            <w:smartTag w:uri="urn:schemas-microsoft-com:office:smarttags" w:element="PersonName">
              <w:r w:rsidRPr="00A012AA">
                <w:t>Finance Systems</w:t>
              </w:r>
            </w:smartTag>
            <w:r w:rsidRPr="00A012AA">
              <w:t xml:space="preserve"> Support Team (NFSST)</w:t>
            </w:r>
          </w:p>
          <w:p w14:paraId="0317AF8A" w14:textId="77777777" w:rsidR="00E45F8A" w:rsidRPr="00A012AA" w:rsidRDefault="00E45F8A" w:rsidP="0038099F">
            <w:pPr>
              <w:jc w:val="both"/>
            </w:pPr>
            <w:r w:rsidRPr="00A012AA">
              <w:t xml:space="preserve">The NFSST will manage the delivery of the </w:t>
            </w:r>
            <w:r w:rsidR="00137C15" w:rsidRPr="00A012AA">
              <w:t xml:space="preserve">above </w:t>
            </w:r>
            <w:smartTag w:uri="urn:schemas-microsoft-com:office:smarttags" w:element="PersonName">
              <w:r w:rsidRPr="00A012AA">
                <w:t>Finance Systems</w:t>
              </w:r>
            </w:smartTag>
            <w:r w:rsidRPr="00A012AA">
              <w:t xml:space="preserve"> services to NHSS users</w:t>
            </w:r>
            <w:r w:rsidR="00137C15" w:rsidRPr="00A012AA">
              <w:t xml:space="preserve"> as follows:</w:t>
            </w:r>
            <w:r w:rsidRPr="00A012AA">
              <w:t xml:space="preserve"> </w:t>
            </w:r>
          </w:p>
          <w:p w14:paraId="0317AF8B" w14:textId="77777777" w:rsidR="00E45F8A" w:rsidRPr="00A012AA" w:rsidRDefault="00137C15" w:rsidP="0038099F">
            <w:pPr>
              <w:numPr>
                <w:ilvl w:val="0"/>
                <w:numId w:val="3"/>
              </w:numPr>
              <w:jc w:val="both"/>
            </w:pPr>
            <w:r w:rsidRPr="00A012AA">
              <w:t>Users are supported in their day to day use of the systems</w:t>
            </w:r>
            <w:r w:rsidR="00714BAC" w:rsidRPr="00A012AA">
              <w:t>.</w:t>
            </w:r>
          </w:p>
          <w:p w14:paraId="0317AF8C" w14:textId="77777777" w:rsidR="00137C15" w:rsidRPr="00A012AA" w:rsidRDefault="00137C15" w:rsidP="0038099F">
            <w:pPr>
              <w:numPr>
                <w:ilvl w:val="0"/>
                <w:numId w:val="3"/>
              </w:numPr>
              <w:jc w:val="both"/>
            </w:pPr>
            <w:r w:rsidRPr="00A012AA">
              <w:t>Users are supported in their strategic development of the systems</w:t>
            </w:r>
            <w:r w:rsidR="00714BAC" w:rsidRPr="00A012AA">
              <w:t>.</w:t>
            </w:r>
          </w:p>
          <w:p w14:paraId="0317AF8D" w14:textId="77777777" w:rsidR="00137C15" w:rsidRPr="00A012AA" w:rsidRDefault="00137C15" w:rsidP="0038099F">
            <w:pPr>
              <w:numPr>
                <w:ilvl w:val="0"/>
                <w:numId w:val="3"/>
              </w:numPr>
              <w:jc w:val="both"/>
            </w:pPr>
            <w:r w:rsidRPr="00A012AA">
              <w:t>Users are supported in realising the full potential that the systems offer</w:t>
            </w:r>
            <w:r w:rsidR="00714BAC" w:rsidRPr="00A012AA">
              <w:t>.</w:t>
            </w:r>
          </w:p>
          <w:p w14:paraId="0317AF8E" w14:textId="77777777" w:rsidR="00137C15" w:rsidRPr="00A012AA" w:rsidRDefault="00137C15" w:rsidP="0038099F">
            <w:pPr>
              <w:numPr>
                <w:ilvl w:val="0"/>
                <w:numId w:val="3"/>
              </w:numPr>
              <w:jc w:val="both"/>
            </w:pPr>
            <w:r w:rsidRPr="00A012AA">
              <w:t>Vendors are performing in support of the above</w:t>
            </w:r>
            <w:r w:rsidR="00714BAC" w:rsidRPr="00A012AA">
              <w:t>.</w:t>
            </w:r>
          </w:p>
          <w:p w14:paraId="0317AF8F" w14:textId="77777777" w:rsidR="00137C15" w:rsidRPr="00A012AA" w:rsidRDefault="00137C15" w:rsidP="0038099F">
            <w:pPr>
              <w:numPr>
                <w:ilvl w:val="0"/>
                <w:numId w:val="3"/>
              </w:numPr>
              <w:jc w:val="both"/>
            </w:pPr>
            <w:r w:rsidRPr="00A012AA">
              <w:t>Vendors are adhering to their contractual obligations</w:t>
            </w:r>
            <w:r w:rsidR="00714BAC" w:rsidRPr="00A012AA">
              <w:t>.</w:t>
            </w:r>
          </w:p>
          <w:p w14:paraId="0317AF90" w14:textId="77777777" w:rsidR="00057E29" w:rsidRPr="00A012AA" w:rsidRDefault="00057E29" w:rsidP="0038099F">
            <w:pPr>
              <w:numPr>
                <w:ilvl w:val="0"/>
                <w:numId w:val="3"/>
              </w:numPr>
              <w:jc w:val="both"/>
            </w:pPr>
            <w:r w:rsidRPr="00A012AA">
              <w:t>Maintain and control the Systems’ Standing Data in accordance with the formal policies and procedures determined by the users</w:t>
            </w:r>
            <w:r w:rsidR="00821C50" w:rsidRPr="00A012AA">
              <w:t xml:space="preserve"> and their agreed service specification. </w:t>
            </w:r>
          </w:p>
          <w:p w14:paraId="0317AF91" w14:textId="77777777" w:rsidR="00057E29" w:rsidRPr="00A012AA" w:rsidRDefault="00057E29" w:rsidP="0038099F">
            <w:pPr>
              <w:numPr>
                <w:ilvl w:val="0"/>
                <w:numId w:val="3"/>
              </w:numPr>
              <w:jc w:val="both"/>
            </w:pPr>
            <w:r w:rsidRPr="00A012AA">
              <w:t xml:space="preserve">Maintain and control the </w:t>
            </w:r>
            <w:r w:rsidR="00821C50" w:rsidRPr="00A012AA">
              <w:t>import and export of data from/to feeder systems as determined by the users’ agreed service specification.</w:t>
            </w:r>
            <w:r w:rsidRPr="00A012AA">
              <w:t xml:space="preserve"> </w:t>
            </w:r>
          </w:p>
          <w:p w14:paraId="0317AF92" w14:textId="77777777" w:rsidR="00821C50" w:rsidRPr="00A012AA" w:rsidRDefault="00821C50" w:rsidP="0038099F">
            <w:pPr>
              <w:numPr>
                <w:ilvl w:val="0"/>
                <w:numId w:val="3"/>
              </w:numPr>
              <w:jc w:val="both"/>
            </w:pPr>
            <w:r w:rsidRPr="00A012AA">
              <w:t xml:space="preserve">Manage the users’ access rights and security in relation to the system’s data in accordance </w:t>
            </w:r>
            <w:r w:rsidRPr="00A012AA">
              <w:lastRenderedPageBreak/>
              <w:t xml:space="preserve">with the formal policies and procedures determined by the users and their agreed service specification. </w:t>
            </w:r>
          </w:p>
          <w:p w14:paraId="0317AF93" w14:textId="77777777" w:rsidR="00537CBA" w:rsidRPr="00A012AA" w:rsidRDefault="005C1F16" w:rsidP="0038099F">
            <w:pPr>
              <w:numPr>
                <w:ilvl w:val="0"/>
                <w:numId w:val="3"/>
              </w:numPr>
              <w:jc w:val="both"/>
            </w:pPr>
            <w:r w:rsidRPr="00A012AA">
              <w:t xml:space="preserve">Provide a forum for users </w:t>
            </w:r>
            <w:r w:rsidR="00137C15" w:rsidRPr="00A012AA">
              <w:t xml:space="preserve">to </w:t>
            </w:r>
            <w:r w:rsidRPr="00A012AA">
              <w:t xml:space="preserve">participate in </w:t>
            </w:r>
            <w:r w:rsidR="00137C15" w:rsidRPr="00A012AA">
              <w:t xml:space="preserve">a ‘shared services’ culture </w:t>
            </w:r>
            <w:r w:rsidRPr="00A012AA">
              <w:t>via the</w:t>
            </w:r>
            <w:r w:rsidR="00137C15" w:rsidRPr="00A012AA">
              <w:t xml:space="preserve"> collaborative approach to </w:t>
            </w:r>
            <w:r w:rsidRPr="00A012AA">
              <w:t>financial systems management offered by the department</w:t>
            </w:r>
            <w:r w:rsidR="00714BAC" w:rsidRPr="00A012AA">
              <w:t>.</w:t>
            </w:r>
          </w:p>
          <w:p w14:paraId="0317AF94" w14:textId="77777777" w:rsidR="00AB6876" w:rsidRPr="00A012AA" w:rsidRDefault="00AB6876" w:rsidP="0038099F">
            <w:pPr>
              <w:numPr>
                <w:ilvl w:val="0"/>
                <w:numId w:val="3"/>
              </w:numPr>
              <w:jc w:val="both"/>
            </w:pPr>
            <w:r w:rsidRPr="00A012AA">
              <w:t xml:space="preserve">Monitor the use of the services by the users </w:t>
            </w:r>
            <w:r w:rsidR="00567E5D" w:rsidRPr="00A012AA">
              <w:t xml:space="preserve">in order to advise of more efficient practices and to </w:t>
            </w:r>
            <w:r w:rsidRPr="00A012AA">
              <w:t xml:space="preserve">provide </w:t>
            </w:r>
            <w:r w:rsidR="00567E5D" w:rsidRPr="00A012AA">
              <w:t xml:space="preserve">the necessary data for </w:t>
            </w:r>
            <w:r w:rsidRPr="00A012AA">
              <w:t>apportionment of national costs</w:t>
            </w:r>
            <w:r w:rsidR="00567E5D" w:rsidRPr="00A012AA">
              <w:t xml:space="preserve"> to Boards</w:t>
            </w:r>
            <w:r w:rsidR="00714BAC" w:rsidRPr="00A012AA">
              <w:t>.</w:t>
            </w:r>
          </w:p>
          <w:p w14:paraId="0317AF95" w14:textId="77777777" w:rsidR="00AB6876" w:rsidRPr="00A012AA" w:rsidRDefault="00AB6876" w:rsidP="0038099F">
            <w:pPr>
              <w:numPr>
                <w:ilvl w:val="0"/>
                <w:numId w:val="3"/>
              </w:numPr>
              <w:jc w:val="both"/>
            </w:pPr>
            <w:r w:rsidRPr="00A012AA">
              <w:t>Monitor the quality of its own services and those provided by the third party vendors and continuously seek ways to improve quality</w:t>
            </w:r>
            <w:r w:rsidR="00714BAC" w:rsidRPr="00A012AA">
              <w:t>.</w:t>
            </w:r>
          </w:p>
          <w:p w14:paraId="0317AF96" w14:textId="77777777" w:rsidR="00703091" w:rsidRPr="00A012AA" w:rsidRDefault="00714BAC" w:rsidP="005076CE">
            <w:pPr>
              <w:numPr>
                <w:ilvl w:val="0"/>
                <w:numId w:val="3"/>
              </w:numPr>
              <w:jc w:val="both"/>
            </w:pPr>
            <w:r w:rsidRPr="00A012AA">
              <w:t xml:space="preserve">Maintain the national budgets for the third party services and for the NFSST. </w:t>
            </w:r>
          </w:p>
        </w:tc>
      </w:tr>
      <w:tr w:rsidR="00FD6744" w:rsidRPr="00A012AA" w14:paraId="0317AF99" w14:textId="77777777">
        <w:tc>
          <w:tcPr>
            <w:tcW w:w="8522" w:type="dxa"/>
            <w:shd w:val="clear" w:color="auto" w:fill="3366FF"/>
          </w:tcPr>
          <w:p w14:paraId="0317AF98" w14:textId="77777777" w:rsidR="00FD6744" w:rsidRPr="00A012AA" w:rsidRDefault="00537CBA" w:rsidP="0038099F">
            <w:pPr>
              <w:jc w:val="both"/>
              <w:rPr>
                <w:color w:val="FFFFFF"/>
              </w:rPr>
            </w:pPr>
            <w:r w:rsidRPr="00A012AA">
              <w:rPr>
                <w:color w:val="FFFFFF"/>
              </w:rPr>
              <w:lastRenderedPageBreak/>
              <w:t>6. Key Results Areas</w:t>
            </w:r>
          </w:p>
        </w:tc>
      </w:tr>
      <w:tr w:rsidR="00537CBA" w:rsidRPr="00A012AA" w14:paraId="0317AFAF" w14:textId="77777777">
        <w:tc>
          <w:tcPr>
            <w:tcW w:w="8522" w:type="dxa"/>
            <w:tcBorders>
              <w:bottom w:val="single" w:sz="4" w:space="0" w:color="auto"/>
            </w:tcBorders>
          </w:tcPr>
          <w:p w14:paraId="0317AF9A" w14:textId="77777777" w:rsidR="00CC4829" w:rsidRPr="00A012AA" w:rsidRDefault="00CC4829" w:rsidP="00CC4829">
            <w:pPr>
              <w:numPr>
                <w:ilvl w:val="0"/>
                <w:numId w:val="6"/>
              </w:numPr>
              <w:jc w:val="both"/>
            </w:pPr>
            <w:r w:rsidRPr="00A012AA">
              <w:t xml:space="preserve">To deputise for the System </w:t>
            </w:r>
            <w:r w:rsidR="001D7312" w:rsidRPr="00A012AA">
              <w:t>Maintenance</w:t>
            </w:r>
            <w:r w:rsidRPr="00A012AA">
              <w:t xml:space="preserve"> Manager to deliver a robust and efficient service to customers</w:t>
            </w:r>
          </w:p>
          <w:p w14:paraId="0317AF9B" w14:textId="77777777" w:rsidR="00CC4829" w:rsidRPr="00A012AA" w:rsidRDefault="00CC4829" w:rsidP="00CC4829">
            <w:pPr>
              <w:numPr>
                <w:ilvl w:val="0"/>
                <w:numId w:val="6"/>
              </w:numPr>
              <w:jc w:val="both"/>
            </w:pPr>
            <w:r w:rsidRPr="00A012AA">
              <w:t xml:space="preserve">To take responsibility, where appropriate, for the technical aspects of the service delivery and liaise with technical service providers to ensure optimum system and software performance. </w:t>
            </w:r>
          </w:p>
          <w:p w14:paraId="0317AF9C" w14:textId="77777777" w:rsidR="00CC4829" w:rsidRPr="00A012AA" w:rsidRDefault="00CC4829" w:rsidP="00CC4829">
            <w:pPr>
              <w:numPr>
                <w:ilvl w:val="0"/>
                <w:numId w:val="6"/>
              </w:numPr>
              <w:jc w:val="both"/>
            </w:pPr>
            <w:r w:rsidRPr="00A012AA">
              <w:t xml:space="preserve">Ensure that the Service/system established is sufficiently robust and effective to deliver consistent quality to users. This will include ensuring active and effective risk management at all times for the systems and functions managed by the </w:t>
            </w:r>
            <w:proofErr w:type="spellStart"/>
            <w:r w:rsidRPr="00A012AA">
              <w:t>postholder</w:t>
            </w:r>
            <w:proofErr w:type="spellEnd"/>
            <w:r w:rsidRPr="00A012AA">
              <w:t xml:space="preserve">, and to effectively monitor the use of the various systems delivering the Service and to advise users of their inefficient practices and make suggestions for improvement. </w:t>
            </w:r>
          </w:p>
          <w:p w14:paraId="0317AF9D" w14:textId="77777777" w:rsidR="00CC4829" w:rsidRPr="00A012AA" w:rsidRDefault="00CC4829" w:rsidP="00CC4829">
            <w:pPr>
              <w:pStyle w:val="StyleBodyTextTempoBodyTextCalibriLeft0cmBefore0"/>
              <w:numPr>
                <w:ilvl w:val="0"/>
                <w:numId w:val="6"/>
              </w:numPr>
              <w:rPr>
                <w:lang w:val="en-GB"/>
              </w:rPr>
            </w:pPr>
            <w:r w:rsidRPr="00A012AA">
              <w:rPr>
                <w:lang w:val="en-GB"/>
              </w:rPr>
              <w:t>To assist in the management of</w:t>
            </w:r>
            <w:r w:rsidRPr="00A012AA">
              <w:t xml:space="preserve"> the application of fixes and patches provided by the software suppliers and undertaken by the MTS provider; ensuring effective planning and testing and with minimum disruption to the delivery of services to users, and that</w:t>
            </w:r>
            <w:r w:rsidRPr="00A012AA">
              <w:rPr>
                <w:lang w:val="en-GB"/>
              </w:rPr>
              <w:t xml:space="preserve"> access to different environments (e.g. live and development) is controlled and segregated;</w:t>
            </w:r>
          </w:p>
          <w:p w14:paraId="0317AF9E" w14:textId="77777777" w:rsidR="00CC4829" w:rsidRPr="00A012AA" w:rsidRDefault="00CC4829" w:rsidP="00CC4829">
            <w:pPr>
              <w:numPr>
                <w:ilvl w:val="0"/>
                <w:numId w:val="6"/>
              </w:numPr>
              <w:jc w:val="both"/>
            </w:pPr>
            <w:r w:rsidRPr="00A012AA">
              <w:t xml:space="preserve">To effectively assist in the management of the Technical Service arrangements with the appointed Managed Technical Service provider; ensuring optimum performance is delivered to the end user; ensuring a secure and appropriately controlled environment is maintained to safeguard the financial data of </w:t>
            </w:r>
            <w:proofErr w:type="spellStart"/>
            <w:r w:rsidRPr="00A012AA">
              <w:t>NHSScotland</w:t>
            </w:r>
            <w:proofErr w:type="spellEnd"/>
            <w:r w:rsidRPr="00A012AA">
              <w:t xml:space="preserve">. Ensuring that service interruption is avoided through careful/considerate planning, robust risk assessment and swift, effective incident/issue management; ensuring a value for money service from said supplier. </w:t>
            </w:r>
          </w:p>
          <w:p w14:paraId="0317AF9F" w14:textId="77777777" w:rsidR="00CC4829" w:rsidRPr="00A012AA" w:rsidRDefault="00CC4829" w:rsidP="00CC4829">
            <w:pPr>
              <w:numPr>
                <w:ilvl w:val="0"/>
                <w:numId w:val="6"/>
              </w:numPr>
              <w:jc w:val="both"/>
            </w:pPr>
            <w:r w:rsidRPr="00A012AA">
              <w:t>To effectively assist in the management of the interaction between the users, the service and the application supplier;   ensuring optimum performance is delivered to the end user; ensuring that service interruption is avoided at all costs through careful/considerate planning, robust risk assessment and swift, effective incident/issue management; ensuring a value for money service from said supplier.</w:t>
            </w:r>
          </w:p>
          <w:p w14:paraId="0317AFA0" w14:textId="77777777" w:rsidR="00CC4829" w:rsidRPr="00A012AA" w:rsidRDefault="00CC4829" w:rsidP="00CC4829">
            <w:pPr>
              <w:numPr>
                <w:ilvl w:val="0"/>
                <w:numId w:val="6"/>
              </w:numPr>
              <w:jc w:val="both"/>
            </w:pPr>
            <w:r w:rsidRPr="00A012AA">
              <w:t xml:space="preserve">To monitor KPIs provided by suppliers. </w:t>
            </w:r>
          </w:p>
          <w:p w14:paraId="0317AFA1" w14:textId="77777777" w:rsidR="00CC4829" w:rsidRPr="00A012AA" w:rsidRDefault="00CC4829" w:rsidP="00CC4829">
            <w:pPr>
              <w:numPr>
                <w:ilvl w:val="0"/>
                <w:numId w:val="6"/>
              </w:numPr>
              <w:jc w:val="both"/>
            </w:pPr>
            <w:r w:rsidRPr="00A012AA">
              <w:t xml:space="preserve">Assist in the delivery of a high, auditable common standard of access control and accountability for the wide range of staff and sensitive financial information managed by the Service; and enable secure remote access. Always remain sensitive to the participating Boards’ local needs for entity segregation and data security. </w:t>
            </w:r>
          </w:p>
          <w:p w14:paraId="0317AFA2" w14:textId="77777777" w:rsidR="00CC4829" w:rsidRPr="00A012AA" w:rsidRDefault="00CC4829" w:rsidP="00CC4829">
            <w:pPr>
              <w:pStyle w:val="StyleBodyTextTempoBodyTextCalibriLeft0cmBefore0"/>
              <w:numPr>
                <w:ilvl w:val="0"/>
                <w:numId w:val="6"/>
              </w:numPr>
              <w:rPr>
                <w:lang w:val="en-GB"/>
              </w:rPr>
            </w:pPr>
            <w:r w:rsidRPr="00A012AA">
              <w:rPr>
                <w:lang w:val="en-GB"/>
              </w:rPr>
              <w:t xml:space="preserve">Ensure logical controls are in place which restrict access to the financial systems to authorised users </w:t>
            </w:r>
            <w:proofErr w:type="spellStart"/>
            <w:r w:rsidRPr="00A012AA">
              <w:rPr>
                <w:lang w:val="en-GB"/>
              </w:rPr>
              <w:t>inc</w:t>
            </w:r>
            <w:proofErr w:type="spellEnd"/>
            <w:r w:rsidRPr="00A012AA">
              <w:rPr>
                <w:lang w:val="en-GB"/>
              </w:rPr>
              <w:t xml:space="preserve">: </w:t>
            </w:r>
          </w:p>
          <w:p w14:paraId="0317AFA3"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 xml:space="preserve">Access to </w:t>
            </w:r>
            <w:proofErr w:type="spellStart"/>
            <w:r w:rsidRPr="00A012AA">
              <w:rPr>
                <w:lang w:val="en-GB"/>
              </w:rPr>
              <w:t>eFinancials</w:t>
            </w:r>
            <w:proofErr w:type="spellEnd"/>
            <w:r w:rsidRPr="00A012AA">
              <w:rPr>
                <w:lang w:val="en-GB"/>
              </w:rPr>
              <w:t xml:space="preserve"> is only granted per defined system user role defined by the Health Board and on receipt of a signed authorised form/email</w:t>
            </w:r>
          </w:p>
          <w:p w14:paraId="0317AFA4"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An up-to-date list of individuals allowed to authorise changes is maintained</w:t>
            </w:r>
          </w:p>
          <w:p w14:paraId="0317AFA5"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 xml:space="preserve">Access requires a unique User ID and password. Passwords must be alphanumeric and </w:t>
            </w:r>
            <w:r w:rsidRPr="00A012AA">
              <w:rPr>
                <w:lang w:val="en-GB"/>
              </w:rPr>
              <w:lastRenderedPageBreak/>
              <w:t>changed every 30 days</w:t>
            </w:r>
          </w:p>
          <w:p w14:paraId="0317AFA6"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A review of user access is carried out on a bi-annual basis by requesting information from Health Boards that user access remains appropriate</w:t>
            </w:r>
          </w:p>
          <w:p w14:paraId="0317AFA7"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Access to sub-ledgers is restricted to users with authorised access</w:t>
            </w:r>
          </w:p>
          <w:p w14:paraId="0317AFA8" w14:textId="77777777" w:rsidR="00CC4829" w:rsidRPr="00A012AA" w:rsidRDefault="00CC4829" w:rsidP="00CC4829">
            <w:pPr>
              <w:pStyle w:val="StyleBodyTextTempoBodyTextCalibriLeft0cmBefore0"/>
              <w:numPr>
                <w:ilvl w:val="1"/>
                <w:numId w:val="6"/>
              </w:numPr>
              <w:tabs>
                <w:tab w:val="num" w:pos="1440"/>
              </w:tabs>
              <w:rPr>
                <w:lang w:val="en-GB"/>
              </w:rPr>
            </w:pPr>
            <w:r w:rsidRPr="00A012AA">
              <w:rPr>
                <w:lang w:val="en-GB"/>
              </w:rPr>
              <w:t>The number of users with administrator access is restricted to appropriate personnel only</w:t>
            </w:r>
          </w:p>
          <w:p w14:paraId="0317AFA9" w14:textId="77777777" w:rsidR="00CC4829" w:rsidRPr="00A012AA" w:rsidRDefault="00CC4829" w:rsidP="00CC4829">
            <w:pPr>
              <w:numPr>
                <w:ilvl w:val="0"/>
                <w:numId w:val="6"/>
              </w:numPr>
              <w:jc w:val="both"/>
            </w:pPr>
            <w:r w:rsidRPr="00A012AA">
              <w:t xml:space="preserve">Promote, and adhere to, all relevant legislation/guidance relating to data/systems protection, access and security, respecting the authoritative role of the owners of the data (i.e. Boards). Design and implement policies and procedures appropriately in support of this objective.  </w:t>
            </w:r>
          </w:p>
          <w:p w14:paraId="0317AFAA" w14:textId="77777777" w:rsidR="00CC4829" w:rsidRPr="00A012AA" w:rsidRDefault="00CC4829" w:rsidP="00CC4829">
            <w:pPr>
              <w:numPr>
                <w:ilvl w:val="0"/>
                <w:numId w:val="6"/>
              </w:numPr>
              <w:jc w:val="both"/>
            </w:pPr>
            <w:r w:rsidRPr="00A012AA">
              <w:t xml:space="preserve">Respond timeously to requests for support/advice in respect of the agreed services. Collaborate with users and suppliers/providers to ensure adequate system recovery/business continuity processes are in place. </w:t>
            </w:r>
          </w:p>
          <w:p w14:paraId="0317AFAB" w14:textId="77777777" w:rsidR="00CC4829" w:rsidRPr="00A012AA" w:rsidRDefault="00CC4829" w:rsidP="00CC4829">
            <w:pPr>
              <w:numPr>
                <w:ilvl w:val="0"/>
                <w:numId w:val="6"/>
              </w:numPr>
              <w:jc w:val="both"/>
            </w:pPr>
            <w:r w:rsidRPr="00A012AA">
              <w:t xml:space="preserve">To promote a communication environment that allows users to openly express and debate their needs without hindrance. </w:t>
            </w:r>
          </w:p>
          <w:p w14:paraId="0317AFAC" w14:textId="77777777" w:rsidR="00CC4829" w:rsidRPr="00A012AA" w:rsidRDefault="00CC4829" w:rsidP="00CC4829">
            <w:pPr>
              <w:numPr>
                <w:ilvl w:val="0"/>
                <w:numId w:val="6"/>
              </w:numPr>
              <w:jc w:val="both"/>
            </w:pPr>
            <w:r w:rsidRPr="00A012AA">
              <w:t xml:space="preserve">Liaise as required with Service Auditors; responding to their appraisals and implementing agreed recommendations.   </w:t>
            </w:r>
          </w:p>
          <w:p w14:paraId="0317AFAD" w14:textId="77777777" w:rsidR="00CC4829" w:rsidRPr="00A012AA" w:rsidRDefault="00CC4829" w:rsidP="00CC4829">
            <w:pPr>
              <w:numPr>
                <w:ilvl w:val="0"/>
                <w:numId w:val="6"/>
              </w:numPr>
              <w:jc w:val="both"/>
            </w:pPr>
            <w:r w:rsidRPr="00A012AA">
              <w:t xml:space="preserve">Where appropriate, to effectively participate in relevant projects/work packages using PRINCE2 based methodology; </w:t>
            </w:r>
          </w:p>
          <w:p w14:paraId="0317AFAE" w14:textId="77777777" w:rsidR="00DE4434" w:rsidRPr="00A012AA" w:rsidRDefault="00CC4829" w:rsidP="00CC4829">
            <w:pPr>
              <w:jc w:val="both"/>
            </w:pPr>
            <w:r w:rsidRPr="00A012AA">
              <w:t xml:space="preserve"> </w:t>
            </w:r>
          </w:p>
        </w:tc>
      </w:tr>
      <w:tr w:rsidR="00FD6744" w:rsidRPr="00A012AA" w14:paraId="0317AFB1" w14:textId="77777777">
        <w:tc>
          <w:tcPr>
            <w:tcW w:w="8522" w:type="dxa"/>
            <w:shd w:val="clear" w:color="auto" w:fill="3366FF"/>
          </w:tcPr>
          <w:p w14:paraId="0317AFB0" w14:textId="77777777" w:rsidR="00FD6744" w:rsidRPr="00A012AA" w:rsidRDefault="00537CBA" w:rsidP="0038099F">
            <w:pPr>
              <w:jc w:val="both"/>
              <w:rPr>
                <w:color w:val="FFFFFF"/>
              </w:rPr>
            </w:pPr>
            <w:r w:rsidRPr="00A012AA">
              <w:rPr>
                <w:color w:val="FFFFFF"/>
              </w:rPr>
              <w:lastRenderedPageBreak/>
              <w:t>7. Assignment &amp; Review of Work; Decisions &amp; Judgements</w:t>
            </w:r>
          </w:p>
        </w:tc>
      </w:tr>
      <w:tr w:rsidR="00537CBA" w:rsidRPr="00A012AA" w14:paraId="0317AFB5" w14:textId="77777777">
        <w:tc>
          <w:tcPr>
            <w:tcW w:w="8522" w:type="dxa"/>
            <w:tcBorders>
              <w:bottom w:val="single" w:sz="4" w:space="0" w:color="auto"/>
            </w:tcBorders>
          </w:tcPr>
          <w:p w14:paraId="0317AFB2" w14:textId="77777777" w:rsidR="00B92FBF" w:rsidRPr="00A012AA" w:rsidRDefault="00B92FBF" w:rsidP="0038099F">
            <w:pPr>
              <w:jc w:val="both"/>
            </w:pPr>
            <w:r w:rsidRPr="00A012AA">
              <w:t xml:space="preserve">Under guidelines determined by </w:t>
            </w:r>
            <w:r w:rsidR="003A0A75" w:rsidRPr="00A012AA">
              <w:t xml:space="preserve">the </w:t>
            </w:r>
            <w:r w:rsidR="00F3488F" w:rsidRPr="00A012AA">
              <w:t xml:space="preserve">Systems </w:t>
            </w:r>
            <w:r w:rsidR="001D7312" w:rsidRPr="00A012AA">
              <w:t>Maintenance</w:t>
            </w:r>
            <w:r w:rsidR="00EE094A" w:rsidRPr="00A012AA">
              <w:t xml:space="preserve"> Manager (</w:t>
            </w:r>
            <w:r w:rsidR="001D7312" w:rsidRPr="00A012AA">
              <w:t>SM</w:t>
            </w:r>
            <w:r w:rsidR="00EE094A" w:rsidRPr="00A012AA">
              <w:t>M)</w:t>
            </w:r>
            <w:r w:rsidR="000A32C0" w:rsidRPr="00A012AA">
              <w:t xml:space="preserve">, the </w:t>
            </w:r>
            <w:proofErr w:type="spellStart"/>
            <w:r w:rsidR="000A32C0" w:rsidRPr="00A012AA">
              <w:t>post</w:t>
            </w:r>
            <w:r w:rsidRPr="00A012AA">
              <w:t>holder</w:t>
            </w:r>
            <w:proofErr w:type="spellEnd"/>
            <w:r w:rsidRPr="00A012AA">
              <w:t xml:space="preserve"> </w:t>
            </w:r>
            <w:r w:rsidR="00EE094A" w:rsidRPr="00A012AA">
              <w:t xml:space="preserve">will be </w:t>
            </w:r>
            <w:r w:rsidRPr="00A012AA">
              <w:t>expected to prioritise and manage their own workload</w:t>
            </w:r>
            <w:r w:rsidR="00040F84" w:rsidRPr="00A012AA">
              <w:t xml:space="preserve"> </w:t>
            </w:r>
            <w:r w:rsidRPr="00A012AA">
              <w:t xml:space="preserve">in accordance with the </w:t>
            </w:r>
            <w:r w:rsidR="000A32C0" w:rsidRPr="00A012AA">
              <w:t>S</w:t>
            </w:r>
            <w:r w:rsidR="003A0A75" w:rsidRPr="00A012AA">
              <w:t>ervice</w:t>
            </w:r>
            <w:r w:rsidR="00F3488F" w:rsidRPr="00A012AA">
              <w:t>’s</w:t>
            </w:r>
            <w:r w:rsidR="003A0A75" w:rsidRPr="00A012AA">
              <w:t xml:space="preserve"> </w:t>
            </w:r>
            <w:r w:rsidRPr="00A012AA">
              <w:t xml:space="preserve">objectives and timescales. The </w:t>
            </w:r>
            <w:proofErr w:type="spellStart"/>
            <w:r w:rsidRPr="00A012AA">
              <w:t>postholder</w:t>
            </w:r>
            <w:proofErr w:type="spellEnd"/>
            <w:r w:rsidRPr="00A012AA">
              <w:t xml:space="preserve"> is required to set priorities for work to meet these demands. </w:t>
            </w:r>
            <w:r w:rsidR="00EA767D" w:rsidRPr="00A012AA">
              <w:t>R</w:t>
            </w:r>
            <w:r w:rsidR="00FD6D2A" w:rsidRPr="00A012AA">
              <w:t xml:space="preserve">ecognising that </w:t>
            </w:r>
            <w:r w:rsidR="00EA767D" w:rsidRPr="00A012AA">
              <w:t xml:space="preserve">the </w:t>
            </w:r>
            <w:r w:rsidR="00FD6D2A" w:rsidRPr="00A012AA">
              <w:t xml:space="preserve">demand for </w:t>
            </w:r>
            <w:r w:rsidR="001E1007" w:rsidRPr="00A012AA">
              <w:t xml:space="preserve">the NSI Team’s </w:t>
            </w:r>
            <w:r w:rsidR="00FD6D2A" w:rsidRPr="00A012AA">
              <w:t>service</w:t>
            </w:r>
            <w:r w:rsidR="001E1007" w:rsidRPr="00A012AA">
              <w:t xml:space="preserve">s will </w:t>
            </w:r>
            <w:r w:rsidR="00FD6D2A" w:rsidRPr="00A012AA">
              <w:t xml:space="preserve">fluctuate, the </w:t>
            </w:r>
            <w:proofErr w:type="spellStart"/>
            <w:r w:rsidR="00FD6D2A" w:rsidRPr="00A012AA">
              <w:t>postholder’s</w:t>
            </w:r>
            <w:proofErr w:type="spellEnd"/>
            <w:r w:rsidR="00FD6D2A" w:rsidRPr="00A012AA">
              <w:t xml:space="preserve"> work may be reprioritised by the SSM or </w:t>
            </w:r>
            <w:r w:rsidR="001E1007" w:rsidRPr="00A012AA">
              <w:t>in</w:t>
            </w:r>
            <w:r w:rsidR="00FD6D2A" w:rsidRPr="00A012AA">
              <w:t xml:space="preserve"> agreement with the other service delivery managers</w:t>
            </w:r>
            <w:r w:rsidR="001E1007" w:rsidRPr="00A012AA">
              <w:t xml:space="preserve"> in order to secure the overall objectives of the NSI service</w:t>
            </w:r>
            <w:r w:rsidR="00FD6D2A" w:rsidRPr="00A012AA">
              <w:t xml:space="preserve">.    </w:t>
            </w:r>
          </w:p>
          <w:p w14:paraId="0317AFB3" w14:textId="77777777" w:rsidR="00040F84" w:rsidRPr="00A012AA" w:rsidRDefault="00B92FBF" w:rsidP="0038099F">
            <w:pPr>
              <w:jc w:val="both"/>
            </w:pPr>
            <w:r w:rsidRPr="00A012AA">
              <w:t xml:space="preserve">The post holder will attend regular 1:1 meetings with the </w:t>
            </w:r>
            <w:r w:rsidR="001D7312" w:rsidRPr="00A012AA">
              <w:t>SM</w:t>
            </w:r>
            <w:r w:rsidR="00FD6D2A" w:rsidRPr="00A012AA">
              <w:t>M</w:t>
            </w:r>
            <w:r w:rsidRPr="00A012AA">
              <w:t xml:space="preserve">, and is appraised through the </w:t>
            </w:r>
            <w:r w:rsidR="00FD6D2A" w:rsidRPr="00A012AA">
              <w:t xml:space="preserve">Host Board’s </w:t>
            </w:r>
            <w:r w:rsidRPr="00A012AA">
              <w:t xml:space="preserve">formal PDP process. </w:t>
            </w:r>
          </w:p>
          <w:p w14:paraId="0317AFB4" w14:textId="77777777" w:rsidR="00537CBA" w:rsidRPr="00A012AA" w:rsidRDefault="00040F84" w:rsidP="001D7312">
            <w:pPr>
              <w:jc w:val="both"/>
            </w:pPr>
            <w:r w:rsidRPr="00A012AA">
              <w:t xml:space="preserve">The post holder is expected to be pro-active and to demonstrate </w:t>
            </w:r>
            <w:r w:rsidR="00005B17" w:rsidRPr="00A012AA">
              <w:t>excellent technical skills</w:t>
            </w:r>
            <w:r w:rsidRPr="00A012AA">
              <w:t xml:space="preserve"> in the </w:t>
            </w:r>
            <w:r w:rsidR="000065DE" w:rsidRPr="00A012AA">
              <w:t xml:space="preserve">ongoing </w:t>
            </w:r>
            <w:r w:rsidR="000A32C0" w:rsidRPr="00A012AA">
              <w:t xml:space="preserve">maintenance </w:t>
            </w:r>
            <w:r w:rsidRPr="00A012AA">
              <w:t xml:space="preserve">of </w:t>
            </w:r>
            <w:r w:rsidR="000A32C0" w:rsidRPr="00A012AA">
              <w:t xml:space="preserve">the </w:t>
            </w:r>
            <w:r w:rsidRPr="00A012AA">
              <w:t>relevant systems</w:t>
            </w:r>
            <w:r w:rsidR="000065DE" w:rsidRPr="00A012AA">
              <w:t xml:space="preserve">. </w:t>
            </w:r>
          </w:p>
        </w:tc>
      </w:tr>
      <w:tr w:rsidR="00FD6744" w:rsidRPr="00A012AA" w14:paraId="0317AFB7" w14:textId="77777777">
        <w:tc>
          <w:tcPr>
            <w:tcW w:w="8522" w:type="dxa"/>
            <w:shd w:val="clear" w:color="auto" w:fill="3366FF"/>
          </w:tcPr>
          <w:p w14:paraId="0317AFB6" w14:textId="77777777" w:rsidR="00FD6744" w:rsidRPr="00A012AA" w:rsidRDefault="00537CBA" w:rsidP="0038099F">
            <w:pPr>
              <w:jc w:val="both"/>
              <w:rPr>
                <w:color w:val="FFFFFF"/>
              </w:rPr>
            </w:pPr>
            <w:r w:rsidRPr="00A012AA">
              <w:rPr>
                <w:color w:val="FFFFFF"/>
              </w:rPr>
              <w:t>8. Communications &amp; Working Relationships</w:t>
            </w:r>
          </w:p>
        </w:tc>
      </w:tr>
      <w:tr w:rsidR="00537CBA" w:rsidRPr="00A012AA" w14:paraId="0317AFCD" w14:textId="77777777">
        <w:tc>
          <w:tcPr>
            <w:tcW w:w="8522" w:type="dxa"/>
            <w:tcBorders>
              <w:bottom w:val="single" w:sz="4" w:space="0" w:color="auto"/>
            </w:tcBorders>
          </w:tcPr>
          <w:p w14:paraId="0317AFB8" w14:textId="77777777" w:rsidR="00371A0E" w:rsidRPr="00A012AA" w:rsidRDefault="00281EE7" w:rsidP="0038099F">
            <w:pPr>
              <w:jc w:val="both"/>
            </w:pPr>
            <w:r w:rsidRPr="00A012AA">
              <w:t xml:space="preserve">Good </w:t>
            </w:r>
            <w:r w:rsidR="00371A0E" w:rsidRPr="00A012AA">
              <w:t>inter-personal skills are a requirement of this post. These will be applied in developing and maintaining relationships and focussed communications with the following:</w:t>
            </w:r>
          </w:p>
          <w:p w14:paraId="0317AFB9" w14:textId="77777777" w:rsidR="00371A0E" w:rsidRPr="00A012AA" w:rsidRDefault="00371A0E" w:rsidP="0038099F">
            <w:pPr>
              <w:jc w:val="both"/>
              <w:rPr>
                <w:b/>
              </w:rPr>
            </w:pPr>
            <w:r w:rsidRPr="00A012AA">
              <w:rPr>
                <w:b/>
              </w:rPr>
              <w:t>Internal</w:t>
            </w:r>
          </w:p>
          <w:p w14:paraId="0317AFBA" w14:textId="77777777" w:rsidR="00281EE7" w:rsidRPr="00A012AA" w:rsidRDefault="00281EE7" w:rsidP="00281EE7">
            <w:pPr>
              <w:numPr>
                <w:ilvl w:val="0"/>
                <w:numId w:val="9"/>
              </w:numPr>
              <w:jc w:val="both"/>
              <w:rPr>
                <w:rFonts w:cs="Calibri"/>
              </w:rPr>
            </w:pPr>
            <w:r w:rsidRPr="00A012AA">
              <w:rPr>
                <w:rFonts w:cs="Calibri"/>
              </w:rPr>
              <w:t xml:space="preserve">Finance and Procurement </w:t>
            </w:r>
          </w:p>
          <w:p w14:paraId="0317AFBB" w14:textId="77777777" w:rsidR="00371A0E" w:rsidRPr="00A012AA" w:rsidRDefault="005D4E27" w:rsidP="0038099F">
            <w:pPr>
              <w:numPr>
                <w:ilvl w:val="0"/>
                <w:numId w:val="9"/>
              </w:numPr>
              <w:jc w:val="both"/>
              <w:rPr>
                <w:rFonts w:cs="Calibri"/>
              </w:rPr>
            </w:pPr>
            <w:r w:rsidRPr="00A012AA">
              <w:rPr>
                <w:rFonts w:cs="Calibri"/>
              </w:rPr>
              <w:t>NSI S</w:t>
            </w:r>
            <w:r w:rsidR="00F3488F" w:rsidRPr="00A012AA">
              <w:rPr>
                <w:rFonts w:cs="Calibri"/>
              </w:rPr>
              <w:t xml:space="preserve">upport staff </w:t>
            </w:r>
          </w:p>
          <w:p w14:paraId="0317AFBC" w14:textId="77777777" w:rsidR="005D4E27" w:rsidRPr="00A012AA" w:rsidRDefault="005D4E27" w:rsidP="00F3488F">
            <w:pPr>
              <w:numPr>
                <w:ilvl w:val="0"/>
                <w:numId w:val="9"/>
              </w:numPr>
              <w:jc w:val="both"/>
              <w:rPr>
                <w:rFonts w:cs="Calibri"/>
              </w:rPr>
            </w:pPr>
            <w:r w:rsidRPr="00A012AA">
              <w:rPr>
                <w:rFonts w:cs="Calibri"/>
              </w:rPr>
              <w:t>Host Board staff</w:t>
            </w:r>
            <w:r w:rsidR="008F01B3" w:rsidRPr="00A012AA">
              <w:rPr>
                <w:rFonts w:cs="Calibri"/>
              </w:rPr>
              <w:t xml:space="preserve">; HR, Management, Facilities. IT etc. </w:t>
            </w:r>
          </w:p>
          <w:p w14:paraId="0317AFBD" w14:textId="77777777" w:rsidR="00371A0E" w:rsidRPr="00A012AA" w:rsidRDefault="00F3488F" w:rsidP="00F3488F">
            <w:pPr>
              <w:numPr>
                <w:ilvl w:val="0"/>
                <w:numId w:val="9"/>
              </w:numPr>
              <w:jc w:val="both"/>
              <w:rPr>
                <w:rFonts w:cs="Calibri"/>
              </w:rPr>
            </w:pPr>
            <w:r w:rsidRPr="00A012AA">
              <w:rPr>
                <w:rFonts w:cs="Calibri"/>
              </w:rPr>
              <w:t>National Shared Support Services Programme Team</w:t>
            </w:r>
          </w:p>
          <w:p w14:paraId="0317AFBE" w14:textId="77777777" w:rsidR="00F3488F" w:rsidRPr="00A012AA" w:rsidRDefault="008F01B3" w:rsidP="00F3488F">
            <w:pPr>
              <w:numPr>
                <w:ilvl w:val="0"/>
                <w:numId w:val="9"/>
              </w:numPr>
              <w:jc w:val="both"/>
              <w:rPr>
                <w:rFonts w:cs="Calibri"/>
              </w:rPr>
            </w:pPr>
            <w:r w:rsidRPr="00A012AA">
              <w:rPr>
                <w:rFonts w:cs="Calibri"/>
              </w:rPr>
              <w:t xml:space="preserve">Service </w:t>
            </w:r>
            <w:r w:rsidR="00F3488F" w:rsidRPr="00A012AA">
              <w:rPr>
                <w:rFonts w:cs="Calibri"/>
              </w:rPr>
              <w:t>Auditors</w:t>
            </w:r>
          </w:p>
          <w:p w14:paraId="0317AFBF" w14:textId="77777777" w:rsidR="00371A0E" w:rsidRPr="00A012AA" w:rsidRDefault="00371A0E" w:rsidP="0038099F">
            <w:pPr>
              <w:jc w:val="both"/>
              <w:rPr>
                <w:b/>
              </w:rPr>
            </w:pPr>
            <w:r w:rsidRPr="00A012AA">
              <w:rPr>
                <w:b/>
              </w:rPr>
              <w:t>External</w:t>
            </w:r>
          </w:p>
          <w:p w14:paraId="0317AFC0" w14:textId="77777777" w:rsidR="00371A0E" w:rsidRPr="00A012AA" w:rsidRDefault="00F3488F" w:rsidP="0038099F">
            <w:pPr>
              <w:numPr>
                <w:ilvl w:val="0"/>
                <w:numId w:val="10"/>
              </w:numPr>
              <w:jc w:val="both"/>
              <w:rPr>
                <w:rFonts w:cs="Calibri"/>
              </w:rPr>
            </w:pPr>
            <w:r w:rsidRPr="00A012AA">
              <w:rPr>
                <w:rFonts w:cs="Calibri"/>
              </w:rPr>
              <w:t>All 22 Health Boards’ staff at all organisational levels</w:t>
            </w:r>
            <w:r w:rsidR="008F01B3" w:rsidRPr="00A012AA">
              <w:rPr>
                <w:rFonts w:cs="Calibri"/>
              </w:rPr>
              <w:t xml:space="preserve">, </w:t>
            </w:r>
            <w:r w:rsidR="00281EE7" w:rsidRPr="00A012AA">
              <w:rPr>
                <w:rFonts w:cs="Calibri"/>
              </w:rPr>
              <w:t>involved as</w:t>
            </w:r>
            <w:r w:rsidR="008F01B3" w:rsidRPr="00A012AA">
              <w:rPr>
                <w:rFonts w:cs="Calibri"/>
              </w:rPr>
              <w:t xml:space="preserve"> users of the Service’s </w:t>
            </w:r>
            <w:r w:rsidR="008F01B3" w:rsidRPr="00A012AA">
              <w:rPr>
                <w:rFonts w:cs="Calibri"/>
              </w:rPr>
              <w:lastRenderedPageBreak/>
              <w:t xml:space="preserve">systems. </w:t>
            </w:r>
          </w:p>
          <w:p w14:paraId="0317AFC1" w14:textId="77777777" w:rsidR="001D7312" w:rsidRPr="00A012AA" w:rsidRDefault="001D7312">
            <w:pPr>
              <w:numPr>
                <w:ilvl w:val="0"/>
                <w:numId w:val="10"/>
              </w:numPr>
              <w:jc w:val="both"/>
              <w:rPr>
                <w:rFonts w:cs="Calibri"/>
              </w:rPr>
            </w:pPr>
            <w:r w:rsidRPr="00A012AA">
              <w:rPr>
                <w:rFonts w:cs="Calibri"/>
              </w:rPr>
              <w:t>Health Board Procurement departments and National Procurement</w:t>
            </w:r>
          </w:p>
          <w:p w14:paraId="0317AFC2" w14:textId="77777777" w:rsidR="00371A0E" w:rsidRPr="00A012AA" w:rsidRDefault="00371A0E" w:rsidP="0038099F">
            <w:pPr>
              <w:numPr>
                <w:ilvl w:val="0"/>
                <w:numId w:val="10"/>
              </w:numPr>
              <w:jc w:val="both"/>
              <w:rPr>
                <w:rFonts w:cs="Calibri"/>
              </w:rPr>
            </w:pPr>
            <w:r w:rsidRPr="00A012AA">
              <w:rPr>
                <w:rFonts w:cs="Calibri"/>
              </w:rPr>
              <w:t xml:space="preserve">Suppliers / providers of </w:t>
            </w:r>
            <w:r w:rsidR="00F3488F" w:rsidRPr="00A012AA">
              <w:rPr>
                <w:rFonts w:cs="Calibri"/>
              </w:rPr>
              <w:t xml:space="preserve">relevant </w:t>
            </w:r>
            <w:r w:rsidRPr="00A012AA">
              <w:rPr>
                <w:rFonts w:cs="Calibri"/>
              </w:rPr>
              <w:t xml:space="preserve">IT systems / solutions and other forms of consultancy input to the </w:t>
            </w:r>
            <w:r w:rsidR="00F3488F" w:rsidRPr="00A012AA">
              <w:rPr>
                <w:rFonts w:cs="Calibri"/>
              </w:rPr>
              <w:t>Service</w:t>
            </w:r>
            <w:r w:rsidRPr="00A012AA">
              <w:rPr>
                <w:rFonts w:cs="Calibri"/>
              </w:rPr>
              <w:t>.</w:t>
            </w:r>
          </w:p>
          <w:p w14:paraId="0317AFC3" w14:textId="77777777" w:rsidR="00B742A9" w:rsidRPr="00A012AA" w:rsidRDefault="00B742A9" w:rsidP="0038099F">
            <w:pPr>
              <w:numPr>
                <w:ilvl w:val="0"/>
                <w:numId w:val="10"/>
              </w:numPr>
              <w:jc w:val="both"/>
              <w:rPr>
                <w:rFonts w:cs="Calibri"/>
              </w:rPr>
            </w:pPr>
            <w:r w:rsidRPr="00A012AA">
              <w:rPr>
                <w:rFonts w:cs="Calibri"/>
              </w:rPr>
              <w:t>Other organisations’ Business Systems Professionals</w:t>
            </w:r>
          </w:p>
          <w:p w14:paraId="0317AFC4" w14:textId="77777777" w:rsidR="0012796A" w:rsidRPr="00A012AA" w:rsidRDefault="0012796A" w:rsidP="0012796A">
            <w:pPr>
              <w:jc w:val="both"/>
              <w:rPr>
                <w:rFonts w:cs="Calibri"/>
              </w:rPr>
            </w:pPr>
            <w:r w:rsidRPr="00A012AA">
              <w:rPr>
                <w:rFonts w:cs="Calibri"/>
                <w:b/>
              </w:rPr>
              <w:t>Types of Communication</w:t>
            </w:r>
          </w:p>
          <w:p w14:paraId="0317AFC5" w14:textId="77777777" w:rsidR="0012796A" w:rsidRPr="00A012AA" w:rsidRDefault="0012796A" w:rsidP="0012796A">
            <w:pPr>
              <w:numPr>
                <w:ilvl w:val="0"/>
                <w:numId w:val="19"/>
              </w:numPr>
              <w:jc w:val="both"/>
              <w:rPr>
                <w:rFonts w:cs="Calibri"/>
              </w:rPr>
            </w:pPr>
            <w:r w:rsidRPr="00A012AA">
              <w:rPr>
                <w:rFonts w:cs="Calibri"/>
              </w:rPr>
              <w:t>Email, electronic messaging</w:t>
            </w:r>
          </w:p>
          <w:p w14:paraId="0317AFC6" w14:textId="77777777" w:rsidR="0012796A" w:rsidRPr="00A012AA" w:rsidRDefault="0012796A" w:rsidP="0012796A">
            <w:pPr>
              <w:numPr>
                <w:ilvl w:val="0"/>
                <w:numId w:val="19"/>
              </w:numPr>
              <w:jc w:val="both"/>
              <w:rPr>
                <w:rFonts w:cs="Calibri"/>
              </w:rPr>
            </w:pPr>
            <w:r w:rsidRPr="00A012AA">
              <w:rPr>
                <w:rFonts w:cs="Calibri"/>
              </w:rPr>
              <w:t>Verbal, voice messages</w:t>
            </w:r>
          </w:p>
          <w:p w14:paraId="0317AFC7" w14:textId="77777777" w:rsidR="0012796A" w:rsidRPr="00A012AA" w:rsidRDefault="0012796A" w:rsidP="0012796A">
            <w:pPr>
              <w:numPr>
                <w:ilvl w:val="0"/>
                <w:numId w:val="19"/>
              </w:numPr>
              <w:jc w:val="both"/>
              <w:rPr>
                <w:rFonts w:cs="Calibri"/>
              </w:rPr>
            </w:pPr>
            <w:r w:rsidRPr="00A012AA">
              <w:rPr>
                <w:rFonts w:cs="Calibri"/>
              </w:rPr>
              <w:t>Written documents, reports</w:t>
            </w:r>
          </w:p>
          <w:p w14:paraId="0317AFC8" w14:textId="77777777" w:rsidR="0012796A" w:rsidRPr="00A012AA" w:rsidRDefault="0012796A" w:rsidP="0012796A">
            <w:pPr>
              <w:numPr>
                <w:ilvl w:val="0"/>
                <w:numId w:val="19"/>
              </w:numPr>
              <w:jc w:val="both"/>
              <w:rPr>
                <w:rFonts w:cs="Calibri"/>
              </w:rPr>
            </w:pPr>
            <w:r w:rsidRPr="00A012AA">
              <w:rPr>
                <w:rFonts w:cs="Calibri"/>
              </w:rPr>
              <w:t>Presentations</w:t>
            </w:r>
          </w:p>
          <w:p w14:paraId="0317AFC9" w14:textId="77777777" w:rsidR="0012796A" w:rsidRPr="00A012AA" w:rsidRDefault="0012796A" w:rsidP="0012796A">
            <w:pPr>
              <w:numPr>
                <w:ilvl w:val="0"/>
                <w:numId w:val="19"/>
              </w:numPr>
              <w:jc w:val="both"/>
              <w:rPr>
                <w:rFonts w:cs="Calibri"/>
              </w:rPr>
            </w:pPr>
            <w:r w:rsidRPr="00A012AA">
              <w:rPr>
                <w:rFonts w:cs="Calibri"/>
              </w:rPr>
              <w:t>Web conferencing</w:t>
            </w:r>
          </w:p>
          <w:p w14:paraId="0317AFCA" w14:textId="77777777" w:rsidR="00B742A9" w:rsidRPr="00A012AA" w:rsidRDefault="00B742A9" w:rsidP="0038099F">
            <w:pPr>
              <w:jc w:val="both"/>
            </w:pPr>
            <w:r w:rsidRPr="00A012AA">
              <w:t xml:space="preserve">The principal purpose of establishing and maintaining </w:t>
            </w:r>
            <w:r w:rsidR="00281EE7" w:rsidRPr="00A012AA">
              <w:t xml:space="preserve">good </w:t>
            </w:r>
            <w:r w:rsidRPr="00A012AA">
              <w:t xml:space="preserve">communication links with the above is to build co-operative and added value relationships </w:t>
            </w:r>
            <w:r w:rsidR="008F01B3" w:rsidRPr="00A012AA">
              <w:t>in pursuance of the Service’s agreed objectives</w:t>
            </w:r>
            <w:r w:rsidRPr="00A012AA">
              <w:t xml:space="preserve">. </w:t>
            </w:r>
          </w:p>
          <w:p w14:paraId="0317AFCB" w14:textId="77777777" w:rsidR="00B742A9" w:rsidRPr="00A012AA" w:rsidRDefault="00B742A9" w:rsidP="0038099F">
            <w:pPr>
              <w:jc w:val="both"/>
            </w:pPr>
            <w:r w:rsidRPr="00A012AA">
              <w:t xml:space="preserve">A high level of analytical, interpretation and </w:t>
            </w:r>
            <w:r w:rsidR="00281EE7" w:rsidRPr="00A012AA">
              <w:t xml:space="preserve">technical </w:t>
            </w:r>
            <w:r w:rsidRPr="00A012AA">
              <w:t xml:space="preserve">skills are required to </w:t>
            </w:r>
            <w:r w:rsidR="00281EE7" w:rsidRPr="00A012AA">
              <w:t>ensure that work I carried out to maximum effectiveness.</w:t>
            </w:r>
          </w:p>
          <w:p w14:paraId="0317AFCC" w14:textId="77777777" w:rsidR="00537CBA" w:rsidRPr="00A012AA" w:rsidRDefault="00537CBA" w:rsidP="0038099F">
            <w:pPr>
              <w:jc w:val="both"/>
            </w:pPr>
          </w:p>
        </w:tc>
      </w:tr>
      <w:tr w:rsidR="00FD6744" w:rsidRPr="00A012AA" w14:paraId="0317AFCF" w14:textId="77777777">
        <w:tc>
          <w:tcPr>
            <w:tcW w:w="8522" w:type="dxa"/>
            <w:shd w:val="clear" w:color="auto" w:fill="3366FF"/>
          </w:tcPr>
          <w:p w14:paraId="0317AFCE" w14:textId="77777777" w:rsidR="00FD6744" w:rsidRPr="00A012AA" w:rsidRDefault="00537CBA" w:rsidP="0038099F">
            <w:pPr>
              <w:jc w:val="both"/>
              <w:rPr>
                <w:color w:val="FFFFFF"/>
              </w:rPr>
            </w:pPr>
            <w:r w:rsidRPr="00A012AA">
              <w:rPr>
                <w:color w:val="FFFFFF"/>
              </w:rPr>
              <w:lastRenderedPageBreak/>
              <w:t>9. Most Challenging Part of the Job</w:t>
            </w:r>
          </w:p>
        </w:tc>
      </w:tr>
      <w:tr w:rsidR="00537CBA" w:rsidRPr="00A012AA" w14:paraId="0317AFD4" w14:textId="77777777">
        <w:tc>
          <w:tcPr>
            <w:tcW w:w="8522" w:type="dxa"/>
            <w:tcBorders>
              <w:bottom w:val="single" w:sz="4" w:space="0" w:color="auto"/>
            </w:tcBorders>
          </w:tcPr>
          <w:p w14:paraId="0317AFD0" w14:textId="77777777" w:rsidR="001D7312" w:rsidRPr="00A012AA" w:rsidRDefault="001D7312" w:rsidP="001D7312">
            <w:pPr>
              <w:jc w:val="both"/>
            </w:pPr>
            <w:r w:rsidRPr="00A012AA">
              <w:t>The post holder will be required to :</w:t>
            </w:r>
          </w:p>
          <w:p w14:paraId="0317AFD1" w14:textId="77777777" w:rsidR="001D7312" w:rsidRPr="00A012AA" w:rsidRDefault="00A012AA" w:rsidP="00A012AA">
            <w:pPr>
              <w:numPr>
                <w:ilvl w:val="0"/>
                <w:numId w:val="18"/>
              </w:numPr>
              <w:jc w:val="both"/>
            </w:pPr>
            <w:r w:rsidRPr="00A012AA">
              <w:t xml:space="preserve">Assist in the management of </w:t>
            </w:r>
            <w:r w:rsidR="001D7312" w:rsidRPr="00A012AA">
              <w:t>internal and external resources to ensure full availability of the NSI system suite in line with service agreements and quality performance levels</w:t>
            </w:r>
          </w:p>
          <w:p w14:paraId="0317AFD2" w14:textId="77777777" w:rsidR="001D7312" w:rsidRPr="00A012AA" w:rsidRDefault="001D7312" w:rsidP="001D7312">
            <w:pPr>
              <w:numPr>
                <w:ilvl w:val="0"/>
                <w:numId w:val="18"/>
              </w:numPr>
              <w:jc w:val="both"/>
            </w:pPr>
            <w:r w:rsidRPr="00A012AA">
              <w:t>Manage time and staff resources effectively (both in the department and those users supporting related change programmes) and maintain team spirit, motivation, commitment and morale when pressure and deadlines feature constantly; supporting the other service managers to ensure that the NSI Team’s objectives are achieved, recognising when the section’s work needs to be reprioritised in order to meet those aspirations.</w:t>
            </w:r>
          </w:p>
          <w:p w14:paraId="0317AFD3" w14:textId="77777777" w:rsidR="00B742A9" w:rsidRPr="00A012AA" w:rsidRDefault="001D7312" w:rsidP="001D7312">
            <w:pPr>
              <w:numPr>
                <w:ilvl w:val="0"/>
                <w:numId w:val="18"/>
              </w:numPr>
              <w:jc w:val="both"/>
            </w:pPr>
            <w:r w:rsidRPr="00A012AA">
              <w:t xml:space="preserve">The users of the Service are located widely throughout </w:t>
            </w:r>
            <w:smartTag w:uri="urn:schemas-microsoft-com:office:smarttags" w:element="country-region">
              <w:smartTag w:uri="urn:schemas-microsoft-com:office:smarttags" w:element="place">
                <w:r w:rsidRPr="00A012AA">
                  <w:t>Scotland</w:t>
                </w:r>
              </w:smartTag>
            </w:smartTag>
            <w:r w:rsidRPr="00A012AA">
              <w:t xml:space="preserve"> (including the Northern and Western Isles) and therefore travel/overnight stays may be required from time to time.    </w:t>
            </w:r>
          </w:p>
        </w:tc>
      </w:tr>
      <w:tr w:rsidR="00FD6744" w:rsidRPr="00A012AA" w14:paraId="0317AFD6" w14:textId="77777777">
        <w:tc>
          <w:tcPr>
            <w:tcW w:w="8522" w:type="dxa"/>
            <w:shd w:val="clear" w:color="auto" w:fill="3366FF"/>
          </w:tcPr>
          <w:p w14:paraId="0317AFD5" w14:textId="77777777" w:rsidR="00FD6744" w:rsidRPr="00A012AA" w:rsidRDefault="00537CBA" w:rsidP="0038099F">
            <w:pPr>
              <w:jc w:val="both"/>
              <w:rPr>
                <w:color w:val="FFFFFF"/>
              </w:rPr>
            </w:pPr>
            <w:r w:rsidRPr="00A012AA">
              <w:rPr>
                <w:color w:val="FFFFFF"/>
              </w:rPr>
              <w:t>10. Qualifications and / or Experience Required for the Job</w:t>
            </w:r>
          </w:p>
        </w:tc>
      </w:tr>
      <w:tr w:rsidR="00537CBA" w:rsidRPr="00A012AA" w14:paraId="0317AFE2" w14:textId="77777777">
        <w:tc>
          <w:tcPr>
            <w:tcW w:w="8522" w:type="dxa"/>
            <w:tcBorders>
              <w:bottom w:val="single" w:sz="4" w:space="0" w:color="auto"/>
            </w:tcBorders>
          </w:tcPr>
          <w:p w14:paraId="0317AFD7" w14:textId="77777777" w:rsidR="0038099F" w:rsidRPr="00A012AA" w:rsidRDefault="0012796A" w:rsidP="0038099F">
            <w:pPr>
              <w:numPr>
                <w:ilvl w:val="0"/>
                <w:numId w:val="11"/>
              </w:numPr>
              <w:jc w:val="both"/>
            </w:pPr>
            <w:r w:rsidRPr="00A012AA">
              <w:rPr>
                <w:rFonts w:cs="Calibri"/>
              </w:rPr>
              <w:t>Educated to degree level</w:t>
            </w:r>
            <w:r w:rsidR="0038099F" w:rsidRPr="00A012AA">
              <w:t xml:space="preserve"> in a relevant technical</w:t>
            </w:r>
            <w:r w:rsidR="0024390C" w:rsidRPr="00A012AA">
              <w:t>/analytical</w:t>
            </w:r>
            <w:r w:rsidR="0038099F" w:rsidRPr="00A012AA">
              <w:t xml:space="preserve"> area</w:t>
            </w:r>
            <w:r w:rsidR="00E2718E" w:rsidRPr="00A012AA">
              <w:t>; preferably finance systems</w:t>
            </w:r>
            <w:r w:rsidR="0038099F" w:rsidRPr="00A012AA">
              <w:t xml:space="preserve">. </w:t>
            </w:r>
          </w:p>
          <w:p w14:paraId="0317AFD8" w14:textId="21AB43D8" w:rsidR="0038099F" w:rsidRPr="00A012AA" w:rsidRDefault="005B2D4E" w:rsidP="0038099F">
            <w:pPr>
              <w:numPr>
                <w:ilvl w:val="0"/>
                <w:numId w:val="11"/>
              </w:numPr>
              <w:jc w:val="both"/>
            </w:pPr>
            <w:r>
              <w:rPr>
                <w:rFonts w:cs="Calibri"/>
              </w:rPr>
              <w:t>Relevant</w:t>
            </w:r>
            <w:r w:rsidR="0038099F" w:rsidRPr="00A012AA">
              <w:rPr>
                <w:rFonts w:cs="Calibri"/>
              </w:rPr>
              <w:t xml:space="preserve"> post-qualifying experience in a financial systems </w:t>
            </w:r>
            <w:r w:rsidR="00005B17" w:rsidRPr="00A012AA">
              <w:rPr>
                <w:rFonts w:cs="Calibri"/>
              </w:rPr>
              <w:t>technical support role</w:t>
            </w:r>
          </w:p>
          <w:p w14:paraId="0317AFD9" w14:textId="77777777" w:rsidR="00943476" w:rsidRPr="00A012AA" w:rsidRDefault="00AF1ED4" w:rsidP="00E2718E">
            <w:pPr>
              <w:numPr>
                <w:ilvl w:val="0"/>
                <w:numId w:val="11"/>
              </w:numPr>
              <w:jc w:val="both"/>
            </w:pPr>
            <w:r w:rsidRPr="00A012AA">
              <w:rPr>
                <w:rFonts w:cs="Calibri"/>
              </w:rPr>
              <w:t>E</w:t>
            </w:r>
            <w:r w:rsidR="0038099F" w:rsidRPr="00A012AA">
              <w:rPr>
                <w:rFonts w:cs="Calibri"/>
              </w:rPr>
              <w:t xml:space="preserve">xperience of </w:t>
            </w:r>
            <w:r w:rsidRPr="00A012AA">
              <w:rPr>
                <w:rFonts w:cs="Calibri"/>
              </w:rPr>
              <w:t>implementing systems,</w:t>
            </w:r>
            <w:r w:rsidR="0038099F" w:rsidRPr="00A012AA">
              <w:rPr>
                <w:rFonts w:cs="Calibri"/>
              </w:rPr>
              <w:t xml:space="preserve"> </w:t>
            </w:r>
            <w:r w:rsidR="00E2718E" w:rsidRPr="00A012AA">
              <w:rPr>
                <w:rFonts w:cs="Calibri"/>
              </w:rPr>
              <w:t>preferably</w:t>
            </w:r>
            <w:r w:rsidR="0038099F" w:rsidRPr="00A012AA">
              <w:rPr>
                <w:rFonts w:cs="Calibri"/>
              </w:rPr>
              <w:t xml:space="preserve"> </w:t>
            </w:r>
            <w:r w:rsidR="005D49B0" w:rsidRPr="00A012AA">
              <w:rPr>
                <w:rFonts w:cs="Calibri"/>
              </w:rPr>
              <w:t>ABS’</w:t>
            </w:r>
            <w:r w:rsidR="0038099F" w:rsidRPr="00A012AA">
              <w:rPr>
                <w:rFonts w:cs="Calibri"/>
              </w:rPr>
              <w:t xml:space="preserve"> </w:t>
            </w:r>
            <w:proofErr w:type="spellStart"/>
            <w:r w:rsidR="005D49B0" w:rsidRPr="00A012AA">
              <w:rPr>
                <w:rFonts w:cs="Calibri"/>
              </w:rPr>
              <w:t>eFinancials</w:t>
            </w:r>
            <w:proofErr w:type="spellEnd"/>
            <w:r w:rsidR="0038099F" w:rsidRPr="00A012AA">
              <w:rPr>
                <w:rFonts w:cs="Calibri"/>
              </w:rPr>
              <w:t xml:space="preserve"> and Business Objects</w:t>
            </w:r>
            <w:r w:rsidR="00E2718E" w:rsidRPr="00A012AA">
              <w:rPr>
                <w:rFonts w:cs="Calibri"/>
              </w:rPr>
              <w:t>.</w:t>
            </w:r>
          </w:p>
          <w:p w14:paraId="0317AFDA" w14:textId="77777777" w:rsidR="0012796A" w:rsidRPr="00A012AA" w:rsidRDefault="0012796A" w:rsidP="00E2718E">
            <w:pPr>
              <w:numPr>
                <w:ilvl w:val="0"/>
                <w:numId w:val="11"/>
              </w:numPr>
              <w:jc w:val="both"/>
            </w:pPr>
            <w:r w:rsidRPr="00A012AA">
              <w:rPr>
                <w:rFonts w:cs="Calibri"/>
              </w:rPr>
              <w:t xml:space="preserve">Excellent Microsoft Office (Excel, Word, </w:t>
            </w:r>
            <w:proofErr w:type="spellStart"/>
            <w:r w:rsidRPr="00A012AA">
              <w:rPr>
                <w:rFonts w:cs="Calibri"/>
              </w:rPr>
              <w:t>Powerpoint</w:t>
            </w:r>
            <w:proofErr w:type="spellEnd"/>
            <w:r w:rsidRPr="00A012AA">
              <w:rPr>
                <w:rFonts w:cs="Calibri"/>
              </w:rPr>
              <w:t xml:space="preserve"> and Outlook) and good Business Objects (report writing, data views and universes) skills are required</w:t>
            </w:r>
          </w:p>
          <w:p w14:paraId="0317AFDB" w14:textId="77777777" w:rsidR="0012796A" w:rsidRPr="00A012AA" w:rsidRDefault="0012796A" w:rsidP="0012796A">
            <w:pPr>
              <w:numPr>
                <w:ilvl w:val="0"/>
                <w:numId w:val="11"/>
              </w:numPr>
              <w:jc w:val="both"/>
            </w:pPr>
            <w:r w:rsidRPr="00A012AA">
              <w:t xml:space="preserve">A working knowledge of SQL Plus, Oracle table structures are required.  </w:t>
            </w:r>
          </w:p>
          <w:p w14:paraId="0317AFDC" w14:textId="77777777" w:rsidR="0038099F" w:rsidRPr="00A012AA" w:rsidRDefault="00E2718E" w:rsidP="0038099F">
            <w:pPr>
              <w:numPr>
                <w:ilvl w:val="0"/>
                <w:numId w:val="11"/>
              </w:numPr>
              <w:jc w:val="both"/>
            </w:pPr>
            <w:r w:rsidRPr="00A012AA">
              <w:rPr>
                <w:rFonts w:cs="Calibri"/>
              </w:rPr>
              <w:t xml:space="preserve">Relevant </w:t>
            </w:r>
            <w:r w:rsidR="0038099F" w:rsidRPr="00A012AA">
              <w:rPr>
                <w:rFonts w:cs="Calibri"/>
              </w:rPr>
              <w:t xml:space="preserve">Project Management </w:t>
            </w:r>
            <w:r w:rsidRPr="00A012AA">
              <w:rPr>
                <w:rFonts w:cs="Calibri"/>
              </w:rPr>
              <w:t xml:space="preserve">experience obtained </w:t>
            </w:r>
            <w:r w:rsidR="0038099F" w:rsidRPr="00A012AA">
              <w:rPr>
                <w:rFonts w:cs="Calibri"/>
              </w:rPr>
              <w:t>through direct involvement in ch</w:t>
            </w:r>
            <w:r w:rsidR="00943476" w:rsidRPr="00A012AA">
              <w:t xml:space="preserve">ange management </w:t>
            </w:r>
            <w:r w:rsidRPr="00A012AA">
              <w:t>initiatives</w:t>
            </w:r>
            <w:r w:rsidR="0038099F" w:rsidRPr="00A012AA">
              <w:t>.</w:t>
            </w:r>
          </w:p>
          <w:p w14:paraId="0317AFDD" w14:textId="77777777" w:rsidR="0038099F" w:rsidRPr="00A012AA" w:rsidRDefault="0038099F" w:rsidP="0038099F">
            <w:pPr>
              <w:numPr>
                <w:ilvl w:val="0"/>
                <w:numId w:val="11"/>
              </w:numPr>
              <w:jc w:val="both"/>
            </w:pPr>
            <w:r w:rsidRPr="00A012AA">
              <w:rPr>
                <w:rFonts w:cs="Calibri"/>
              </w:rPr>
              <w:t>‘</w:t>
            </w:r>
            <w:r w:rsidR="00943476" w:rsidRPr="00A012AA">
              <w:rPr>
                <w:rFonts w:cs="Calibri"/>
              </w:rPr>
              <w:t>H</w:t>
            </w:r>
            <w:r w:rsidRPr="00A012AA">
              <w:rPr>
                <w:rFonts w:cs="Calibri"/>
              </w:rPr>
              <w:t xml:space="preserve">ands-on’ experience </w:t>
            </w:r>
            <w:r w:rsidR="00943476" w:rsidRPr="00A012AA">
              <w:rPr>
                <w:rFonts w:cs="Calibri"/>
              </w:rPr>
              <w:t xml:space="preserve">of </w:t>
            </w:r>
            <w:r w:rsidRPr="00A012AA">
              <w:rPr>
                <w:rFonts w:cs="Calibri"/>
              </w:rPr>
              <w:t>dealing directly with customers and other stakeholders.</w:t>
            </w:r>
          </w:p>
          <w:p w14:paraId="0317AFDE" w14:textId="77777777" w:rsidR="0038099F" w:rsidRPr="00A012AA" w:rsidRDefault="0038099F" w:rsidP="00E2718E">
            <w:pPr>
              <w:numPr>
                <w:ilvl w:val="0"/>
                <w:numId w:val="11"/>
              </w:numPr>
              <w:jc w:val="both"/>
            </w:pPr>
            <w:r w:rsidRPr="00A012AA">
              <w:rPr>
                <w:rFonts w:cs="Calibri"/>
              </w:rPr>
              <w:t>Up-to-date knowledge of modern business methods</w:t>
            </w:r>
            <w:r w:rsidR="00E2718E" w:rsidRPr="00A012AA">
              <w:rPr>
                <w:rFonts w:cs="Calibri"/>
              </w:rPr>
              <w:t>/s</w:t>
            </w:r>
            <w:r w:rsidRPr="00A012AA">
              <w:rPr>
                <w:rFonts w:cs="Calibri"/>
              </w:rPr>
              <w:t>ystems allied to the ability to propose pragmatic solutions</w:t>
            </w:r>
            <w:r w:rsidR="00E2718E" w:rsidRPr="00A012AA">
              <w:rPr>
                <w:rFonts w:cs="Calibri"/>
              </w:rPr>
              <w:t xml:space="preserve"> to business problems</w:t>
            </w:r>
            <w:r w:rsidRPr="00A012AA">
              <w:rPr>
                <w:rFonts w:cs="Calibri"/>
              </w:rPr>
              <w:t>.</w:t>
            </w:r>
          </w:p>
          <w:p w14:paraId="0317AFDF" w14:textId="77777777" w:rsidR="0024390C" w:rsidRPr="00A012AA" w:rsidRDefault="0012796A" w:rsidP="00E2718E">
            <w:pPr>
              <w:numPr>
                <w:ilvl w:val="0"/>
                <w:numId w:val="11"/>
              </w:numPr>
              <w:jc w:val="both"/>
            </w:pPr>
            <w:r w:rsidRPr="00A012AA">
              <w:rPr>
                <w:rFonts w:cs="Calibri"/>
              </w:rPr>
              <w:lastRenderedPageBreak/>
              <w:t>Excellent organisational skills.</w:t>
            </w:r>
          </w:p>
          <w:p w14:paraId="0317AFE0" w14:textId="77777777" w:rsidR="0012796A" w:rsidRPr="00A012AA" w:rsidRDefault="0024390C" w:rsidP="00E2718E">
            <w:pPr>
              <w:numPr>
                <w:ilvl w:val="0"/>
                <w:numId w:val="11"/>
              </w:numPr>
              <w:jc w:val="both"/>
            </w:pPr>
            <w:r w:rsidRPr="00A012AA">
              <w:rPr>
                <w:rFonts w:cs="Calibri"/>
              </w:rPr>
              <w:t xml:space="preserve">A good understanding of relevant audit and statutory requirements is required.  </w:t>
            </w:r>
            <w:r w:rsidR="0012796A" w:rsidRPr="00A012AA">
              <w:rPr>
                <w:rFonts w:cs="Calibri"/>
              </w:rPr>
              <w:t xml:space="preserve"> </w:t>
            </w:r>
          </w:p>
          <w:p w14:paraId="0317AFE1" w14:textId="77777777" w:rsidR="00537CBA" w:rsidRPr="00A012AA" w:rsidRDefault="00005B17" w:rsidP="0038099F">
            <w:pPr>
              <w:numPr>
                <w:ilvl w:val="0"/>
                <w:numId w:val="11"/>
              </w:numPr>
              <w:jc w:val="both"/>
            </w:pPr>
            <w:r w:rsidRPr="00A012AA">
              <w:rPr>
                <w:rFonts w:cs="Calibri"/>
              </w:rPr>
              <w:t xml:space="preserve">Good </w:t>
            </w:r>
            <w:r w:rsidR="0038099F" w:rsidRPr="00A012AA">
              <w:rPr>
                <w:rFonts w:cs="Calibri"/>
              </w:rPr>
              <w:t xml:space="preserve">communicator with the ability to </w:t>
            </w:r>
            <w:r w:rsidRPr="00A012AA">
              <w:rPr>
                <w:rFonts w:cs="Calibri"/>
              </w:rPr>
              <w:t>explain technical issues to technical and non-technical colleagues</w:t>
            </w:r>
            <w:r w:rsidR="00E2718E" w:rsidRPr="00A012AA">
              <w:t xml:space="preserve"> </w:t>
            </w:r>
          </w:p>
        </w:tc>
      </w:tr>
      <w:tr w:rsidR="00FD6744" w:rsidRPr="00A012AA" w14:paraId="0317AFE4" w14:textId="77777777">
        <w:tc>
          <w:tcPr>
            <w:tcW w:w="8522" w:type="dxa"/>
            <w:shd w:val="clear" w:color="auto" w:fill="3366FF"/>
          </w:tcPr>
          <w:p w14:paraId="0317AFE3" w14:textId="77777777" w:rsidR="00FD6744" w:rsidRPr="00A012AA" w:rsidRDefault="00537CBA" w:rsidP="0038099F">
            <w:pPr>
              <w:jc w:val="both"/>
              <w:rPr>
                <w:color w:val="FFFFFF"/>
              </w:rPr>
            </w:pPr>
            <w:r w:rsidRPr="00A012AA">
              <w:rPr>
                <w:color w:val="FFFFFF"/>
              </w:rPr>
              <w:lastRenderedPageBreak/>
              <w:t>11. Physical, Mental &amp; Emotional Effort</w:t>
            </w:r>
          </w:p>
        </w:tc>
      </w:tr>
      <w:tr w:rsidR="00FD6744" w:rsidRPr="00A012AA" w14:paraId="0317AFED" w14:textId="77777777">
        <w:tc>
          <w:tcPr>
            <w:tcW w:w="8522" w:type="dxa"/>
          </w:tcPr>
          <w:p w14:paraId="0317AFE5" w14:textId="77777777" w:rsidR="00281EE7" w:rsidRPr="00A012AA" w:rsidRDefault="00281EE7" w:rsidP="00281EE7">
            <w:pPr>
              <w:jc w:val="both"/>
              <w:rPr>
                <w:b/>
              </w:rPr>
            </w:pPr>
            <w:r w:rsidRPr="00A012AA">
              <w:rPr>
                <w:b/>
              </w:rPr>
              <w:t>PHYSICAL</w:t>
            </w:r>
          </w:p>
          <w:p w14:paraId="0317AFE6" w14:textId="77777777" w:rsidR="00281EE7" w:rsidRPr="00A012AA" w:rsidRDefault="00281EE7" w:rsidP="00281EE7">
            <w:pPr>
              <w:ind w:left="720"/>
              <w:jc w:val="both"/>
            </w:pPr>
            <w:r w:rsidRPr="00A012AA">
              <w:t xml:space="preserve">Good keyboard skills.  Accuracy of work. The post involves frequent and extended use of keyboards and VDU equipment. This effort will normally be required throughout the full working day. The </w:t>
            </w:r>
            <w:proofErr w:type="spellStart"/>
            <w:r w:rsidRPr="00A012AA">
              <w:t>postholder</w:t>
            </w:r>
            <w:proofErr w:type="spellEnd"/>
            <w:r w:rsidRPr="00A012AA">
              <w:t xml:space="preserve"> will be required to attend, and occasionally present at, meetings/workshops.  </w:t>
            </w:r>
          </w:p>
          <w:p w14:paraId="0317AFE7" w14:textId="77777777" w:rsidR="00281EE7" w:rsidRPr="00A012AA" w:rsidRDefault="00281EE7" w:rsidP="00281EE7">
            <w:pPr>
              <w:jc w:val="both"/>
              <w:rPr>
                <w:b/>
              </w:rPr>
            </w:pPr>
            <w:r w:rsidRPr="00A012AA">
              <w:rPr>
                <w:b/>
              </w:rPr>
              <w:t>MENTAL</w:t>
            </w:r>
          </w:p>
          <w:p w14:paraId="0317AFE8" w14:textId="77777777" w:rsidR="00281EE7" w:rsidRPr="00A012AA" w:rsidRDefault="00281EE7" w:rsidP="00281EE7">
            <w:pPr>
              <w:ind w:left="720"/>
              <w:jc w:val="both"/>
            </w:pPr>
            <w:r w:rsidRPr="00A012AA">
              <w:t>Analytical skills; sustained periods of concentration when problem solving system performance issues and possible requirement to deal with potentially difficult users who may have urgent demands</w:t>
            </w:r>
          </w:p>
          <w:p w14:paraId="0317AFE9" w14:textId="77777777" w:rsidR="00281EE7" w:rsidRPr="00A012AA" w:rsidRDefault="00281EE7" w:rsidP="00281EE7">
            <w:pPr>
              <w:ind w:left="720"/>
              <w:jc w:val="both"/>
            </w:pPr>
            <w:r w:rsidRPr="00A012AA">
              <w:t>Due to the national nature of the service requiring the post holder to switch from one thing to another and react quickly to situations as they develop. Delivering the section’s service activities will require considerable mental effort and an ability to prioritise their own work and to multitask effectively. Ultimately the post holder must have the ability to cope well with single point pressure and take all necessary steps to achieve goals.</w:t>
            </w:r>
          </w:p>
          <w:p w14:paraId="0317AFEA" w14:textId="77777777" w:rsidR="00281EE7" w:rsidRPr="00A012AA" w:rsidRDefault="00281EE7" w:rsidP="00281EE7">
            <w:pPr>
              <w:jc w:val="both"/>
              <w:rPr>
                <w:b/>
              </w:rPr>
            </w:pPr>
            <w:r w:rsidRPr="00A012AA">
              <w:rPr>
                <w:b/>
              </w:rPr>
              <w:t>EMOTIONAL</w:t>
            </w:r>
          </w:p>
          <w:p w14:paraId="0317AFEB" w14:textId="77777777" w:rsidR="00281EE7" w:rsidRPr="00A012AA" w:rsidRDefault="00281EE7" w:rsidP="00281EE7">
            <w:pPr>
              <w:ind w:left="720"/>
              <w:jc w:val="both"/>
            </w:pPr>
            <w:r w:rsidRPr="00A012AA">
              <w:t>Coping adequately with frustration of users when systems are operating below standard.. The post holder must demonstrate tolerance of different attitudes and have the ability to cope with unexpected problems and take responsibility. The ability to keep one’s own emotions under control and restrain negative actions in conflict situations is essential as will the ability to portray a positive and enthusiastic image at all times.</w:t>
            </w:r>
          </w:p>
          <w:p w14:paraId="0317AFEC" w14:textId="77777777" w:rsidR="00FD6744" w:rsidRPr="00A012AA" w:rsidRDefault="00FD6744" w:rsidP="0038099F">
            <w:pPr>
              <w:jc w:val="both"/>
            </w:pPr>
          </w:p>
        </w:tc>
      </w:tr>
    </w:tbl>
    <w:p w14:paraId="0317AFEE" w14:textId="77777777" w:rsidR="00FD6744" w:rsidRPr="00A012AA" w:rsidRDefault="00FD6744" w:rsidP="0038099F">
      <w:pPr>
        <w:jc w:val="both"/>
      </w:pPr>
    </w:p>
    <w:p w14:paraId="0317AFFF" w14:textId="77777777" w:rsidR="000B3271" w:rsidRPr="00A012AA" w:rsidRDefault="000B3271">
      <w:pPr>
        <w:sectPr w:rsidR="000B3271" w:rsidRPr="00A012AA" w:rsidSect="00C9678E">
          <w:headerReference w:type="default" r:id="rId12"/>
          <w:pgSz w:w="11906" w:h="16838"/>
          <w:pgMar w:top="1440" w:right="1797" w:bottom="1440" w:left="1797" w:header="709" w:footer="709" w:gutter="0"/>
          <w:cols w:space="708"/>
          <w:docGrid w:linePitch="360"/>
        </w:sectPr>
      </w:pPr>
      <w:bookmarkStart w:id="0" w:name="_GoBack"/>
      <w:bookmarkEnd w:id="0"/>
    </w:p>
    <w:p w14:paraId="0317B000" w14:textId="77777777" w:rsidR="0038099F" w:rsidRDefault="006D37F3" w:rsidP="006D37F3">
      <w:pPr>
        <w:pStyle w:val="Header"/>
      </w:pPr>
      <w:r w:rsidRPr="00A012AA">
        <w:lastRenderedPageBreak/>
        <w:t>Attach service agreement.</w:t>
      </w:r>
      <w:r>
        <w:t xml:space="preserve"> </w:t>
      </w:r>
    </w:p>
    <w:sectPr w:rsidR="0038099F" w:rsidSect="009C7BF4">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B7EF5" w14:textId="77777777" w:rsidR="00C8041C" w:rsidRDefault="00C8041C">
      <w:r>
        <w:separator/>
      </w:r>
    </w:p>
  </w:endnote>
  <w:endnote w:type="continuationSeparator" w:id="0">
    <w:p w14:paraId="3239D28E" w14:textId="77777777" w:rsidR="00C8041C" w:rsidRDefault="00C8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B00A" w14:textId="77777777" w:rsidR="00D9534E" w:rsidRPr="00674E55" w:rsidRDefault="00D9534E">
    <w:pPr>
      <w:pStyle w:val="Footer"/>
      <w:pBdr>
        <w:top w:val="single" w:sz="8" w:space="1" w:color="333399"/>
      </w:pBdr>
      <w:rPr>
        <w:sz w:val="22"/>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CE414" w14:textId="77777777" w:rsidR="00C8041C" w:rsidRDefault="00C8041C">
      <w:r>
        <w:separator/>
      </w:r>
    </w:p>
  </w:footnote>
  <w:footnote w:type="continuationSeparator" w:id="0">
    <w:p w14:paraId="17651D31" w14:textId="77777777" w:rsidR="00C8041C" w:rsidRDefault="00C8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B006" w14:textId="77777777" w:rsidR="00FC5340" w:rsidRPr="00FD6744" w:rsidRDefault="00D57496" w:rsidP="00FD6744">
    <w:pPr>
      <w:pStyle w:val="Header"/>
      <w:pBdr>
        <w:top w:val="single" w:sz="4" w:space="1" w:color="auto"/>
        <w:left w:val="single" w:sz="4" w:space="4" w:color="auto"/>
        <w:bottom w:val="single" w:sz="4" w:space="1" w:color="auto"/>
        <w:right w:val="single" w:sz="4" w:space="4" w:color="auto"/>
      </w:pBdr>
      <w:shd w:val="clear" w:color="auto" w:fill="3366FF"/>
      <w:rPr>
        <w:b/>
        <w:color w:val="FFFFFF"/>
        <w:sz w:val="28"/>
        <w:szCs w:val="28"/>
      </w:rPr>
    </w:pPr>
    <w:r>
      <w:rPr>
        <w:b/>
        <w:color w:val="FFFFFF"/>
        <w:sz w:val="28"/>
        <w:szCs w:val="28"/>
      </w:rPr>
      <w:t xml:space="preserve">NHS </w:t>
    </w:r>
    <w:r w:rsidR="004E6D18">
      <w:rPr>
        <w:b/>
        <w:color w:val="FFFFFF"/>
        <w:sz w:val="28"/>
        <w:szCs w:val="28"/>
      </w:rPr>
      <w:t>Ayrshire &amp; Arran</w:t>
    </w:r>
  </w:p>
  <w:p w14:paraId="0317B007" w14:textId="77777777" w:rsidR="00FC5340" w:rsidRPr="00FD6744" w:rsidRDefault="00FC5340" w:rsidP="00FD6744">
    <w:pPr>
      <w:pStyle w:val="Header"/>
      <w:pBdr>
        <w:top w:val="single" w:sz="4" w:space="1" w:color="auto"/>
        <w:left w:val="single" w:sz="4" w:space="4" w:color="auto"/>
        <w:bottom w:val="single" w:sz="4" w:space="1" w:color="auto"/>
        <w:right w:val="single" w:sz="4" w:space="4" w:color="auto"/>
      </w:pBdr>
      <w:shd w:val="clear" w:color="auto" w:fill="3366FF"/>
      <w:rPr>
        <w:b/>
        <w:color w:val="FFFFFF"/>
        <w:sz w:val="28"/>
        <w:szCs w:val="28"/>
      </w:rPr>
    </w:pPr>
    <w:r w:rsidRPr="00FD6744">
      <w:rPr>
        <w:b/>
        <w:color w:val="FFFFFF"/>
        <w:sz w:val="28"/>
        <w:szCs w:val="28"/>
      </w:rPr>
      <w:t xml:space="preserve">Job Description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B008" w14:textId="77777777" w:rsidR="00D9534E" w:rsidRDefault="00D9534E" w:rsidP="00D9534E">
    <w:pPr>
      <w:pStyle w:val="Header"/>
      <w:pBdr>
        <w:top w:val="single" w:sz="4" w:space="1" w:color="auto"/>
        <w:left w:val="single" w:sz="4" w:space="4" w:color="auto"/>
        <w:bottom w:val="single" w:sz="4" w:space="1" w:color="auto"/>
        <w:right w:val="single" w:sz="4" w:space="4" w:color="auto"/>
      </w:pBdr>
      <w:shd w:val="clear" w:color="auto" w:fill="3366FF"/>
      <w:rPr>
        <w:b/>
        <w:bCs/>
        <w:iCs/>
        <w:color w:val="FFFFFF"/>
      </w:rPr>
    </w:pPr>
    <w:r w:rsidRPr="00D9534E">
      <w:rPr>
        <w:b/>
        <w:bCs/>
        <w:iCs/>
        <w:color w:val="FFFFFF"/>
      </w:rPr>
      <w:t>Appendix 1</w:t>
    </w:r>
  </w:p>
  <w:p w14:paraId="0317B009" w14:textId="77777777" w:rsidR="00D9534E" w:rsidRPr="00D9534E" w:rsidRDefault="00D9534E" w:rsidP="00D9534E">
    <w:pPr>
      <w:pStyle w:val="Header"/>
      <w:pBdr>
        <w:top w:val="single" w:sz="4" w:space="1" w:color="auto"/>
        <w:left w:val="single" w:sz="4" w:space="4" w:color="auto"/>
        <w:bottom w:val="single" w:sz="4" w:space="1" w:color="auto"/>
        <w:right w:val="single" w:sz="4" w:space="4" w:color="auto"/>
      </w:pBdr>
      <w:shd w:val="clear" w:color="auto" w:fill="3366FF"/>
      <w:rPr>
        <w:b/>
        <w:bCs/>
        <w:iCs/>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3C"/>
    <w:multiLevelType w:val="hybridMultilevel"/>
    <w:tmpl w:val="D1E62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C21EA"/>
    <w:multiLevelType w:val="hybridMultilevel"/>
    <w:tmpl w:val="35E05B9E"/>
    <w:lvl w:ilvl="0" w:tplc="FC586B6E">
      <w:start w:val="1"/>
      <w:numFmt w:val="decimal"/>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6B4C74"/>
    <w:multiLevelType w:val="hybridMultilevel"/>
    <w:tmpl w:val="83B4E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2935"/>
    <w:multiLevelType w:val="hybridMultilevel"/>
    <w:tmpl w:val="34D88F58"/>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4" w15:restartNumberingAfterBreak="0">
    <w:nsid w:val="1BCA5C98"/>
    <w:multiLevelType w:val="multilevel"/>
    <w:tmpl w:val="35E05B9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C77496D"/>
    <w:multiLevelType w:val="multilevel"/>
    <w:tmpl w:val="1D2E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F6341"/>
    <w:multiLevelType w:val="hybridMultilevel"/>
    <w:tmpl w:val="F60CB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43092"/>
    <w:multiLevelType w:val="hybridMultilevel"/>
    <w:tmpl w:val="F8B82C6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C586B6E">
      <w:start w:val="1"/>
      <w:numFmt w:val="decimal"/>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E596317"/>
    <w:multiLevelType w:val="hybridMultilevel"/>
    <w:tmpl w:val="E4C606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53A95"/>
    <w:multiLevelType w:val="hybridMultilevel"/>
    <w:tmpl w:val="471EC7C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3EA6532"/>
    <w:multiLevelType w:val="hybridMultilevel"/>
    <w:tmpl w:val="E54AF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4D57"/>
    <w:multiLevelType w:val="hybridMultilevel"/>
    <w:tmpl w:val="8F30AF9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C586B6E">
      <w:start w:val="1"/>
      <w:numFmt w:val="decimal"/>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327D72"/>
    <w:multiLevelType w:val="hybridMultilevel"/>
    <w:tmpl w:val="825A1784"/>
    <w:lvl w:ilvl="0" w:tplc="08090001">
      <w:start w:val="1"/>
      <w:numFmt w:val="bullet"/>
      <w:lvlText w:val=""/>
      <w:lvlJc w:val="left"/>
      <w:pPr>
        <w:tabs>
          <w:tab w:val="num" w:pos="1080"/>
        </w:tabs>
        <w:ind w:left="1080" w:hanging="360"/>
      </w:pPr>
      <w:rPr>
        <w:rFonts w:ascii="Symbol" w:hAnsi="Symbol" w:hint="default"/>
      </w:rPr>
    </w:lvl>
    <w:lvl w:ilvl="1" w:tplc="FC586B6E">
      <w:start w:val="1"/>
      <w:numFmt w:val="decimal"/>
      <w:lvlText w:val="%2."/>
      <w:lvlJc w:val="left"/>
      <w:pPr>
        <w:tabs>
          <w:tab w:val="num" w:pos="2160"/>
        </w:tabs>
        <w:ind w:left="2160" w:hanging="72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A6E118A"/>
    <w:multiLevelType w:val="hybridMultilevel"/>
    <w:tmpl w:val="29E6A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8739D"/>
    <w:multiLevelType w:val="multilevel"/>
    <w:tmpl w:val="59D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C582D"/>
    <w:multiLevelType w:val="hybridMultilevel"/>
    <w:tmpl w:val="606214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453BF"/>
    <w:multiLevelType w:val="hybridMultilevel"/>
    <w:tmpl w:val="02780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6088A"/>
    <w:multiLevelType w:val="hybridMultilevel"/>
    <w:tmpl w:val="99FA7AF4"/>
    <w:lvl w:ilvl="0" w:tplc="FC586B6E">
      <w:start w:val="1"/>
      <w:numFmt w:val="decimal"/>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FC586B6E">
      <w:start w:val="1"/>
      <w:numFmt w:val="decimal"/>
      <w:lvlText w:val="%3."/>
      <w:lvlJc w:val="left"/>
      <w:pPr>
        <w:tabs>
          <w:tab w:val="num" w:pos="2340"/>
        </w:tabs>
        <w:ind w:left="2340" w:hanging="72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29460D6"/>
    <w:multiLevelType w:val="hybridMultilevel"/>
    <w:tmpl w:val="7534C3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80065E"/>
    <w:multiLevelType w:val="hybridMultilevel"/>
    <w:tmpl w:val="5360FE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AE0883"/>
    <w:multiLevelType w:val="hybridMultilevel"/>
    <w:tmpl w:val="7E5ADBA8"/>
    <w:lvl w:ilvl="0" w:tplc="08090005">
      <w:start w:val="1"/>
      <w:numFmt w:val="bullet"/>
      <w:lvlText w:val=""/>
      <w:lvlJc w:val="left"/>
      <w:pPr>
        <w:tabs>
          <w:tab w:val="num" w:pos="792"/>
        </w:tabs>
        <w:ind w:left="792" w:hanging="360"/>
      </w:pPr>
      <w:rPr>
        <w:rFonts w:ascii="Wingdings" w:hAnsi="Wingdings"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0"/>
  </w:num>
  <w:num w:numId="3">
    <w:abstractNumId w:val="3"/>
  </w:num>
  <w:num w:numId="4">
    <w:abstractNumId w:val="12"/>
  </w:num>
  <w:num w:numId="5">
    <w:abstractNumId w:val="18"/>
  </w:num>
  <w:num w:numId="6">
    <w:abstractNumId w:val="17"/>
  </w:num>
  <w:num w:numId="7">
    <w:abstractNumId w:val="19"/>
  </w:num>
  <w:num w:numId="8">
    <w:abstractNumId w:val="1"/>
  </w:num>
  <w:num w:numId="9">
    <w:abstractNumId w:val="16"/>
  </w:num>
  <w:num w:numId="10">
    <w:abstractNumId w:val="0"/>
  </w:num>
  <w:num w:numId="11">
    <w:abstractNumId w:val="15"/>
  </w:num>
  <w:num w:numId="12">
    <w:abstractNumId w:val="20"/>
  </w:num>
  <w:num w:numId="13">
    <w:abstractNumId w:val="8"/>
  </w:num>
  <w:num w:numId="14">
    <w:abstractNumId w:val="5"/>
  </w:num>
  <w:num w:numId="15">
    <w:abstractNumId w:val="14"/>
  </w:num>
  <w:num w:numId="16">
    <w:abstractNumId w:val="4"/>
  </w:num>
  <w:num w:numId="17">
    <w:abstractNumId w:val="7"/>
  </w:num>
  <w:num w:numId="18">
    <w:abstractNumId w:val="13"/>
  </w:num>
  <w:num w:numId="19">
    <w:abstractNumId w:val="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44"/>
    <w:rsid w:val="00005B17"/>
    <w:rsid w:val="000065DE"/>
    <w:rsid w:val="00040F84"/>
    <w:rsid w:val="00057E29"/>
    <w:rsid w:val="000925C5"/>
    <w:rsid w:val="000A32C0"/>
    <w:rsid w:val="000B3271"/>
    <w:rsid w:val="000E2831"/>
    <w:rsid w:val="00100365"/>
    <w:rsid w:val="0012796A"/>
    <w:rsid w:val="0013502E"/>
    <w:rsid w:val="00137C15"/>
    <w:rsid w:val="001973FF"/>
    <w:rsid w:val="001C07E9"/>
    <w:rsid w:val="001C2B7F"/>
    <w:rsid w:val="001C2B89"/>
    <w:rsid w:val="001D7312"/>
    <w:rsid w:val="001E1007"/>
    <w:rsid w:val="001F3DBA"/>
    <w:rsid w:val="00201E45"/>
    <w:rsid w:val="00205E43"/>
    <w:rsid w:val="00212FC7"/>
    <w:rsid w:val="0024390C"/>
    <w:rsid w:val="0026535E"/>
    <w:rsid w:val="00281EE7"/>
    <w:rsid w:val="002C2CAA"/>
    <w:rsid w:val="002C6B45"/>
    <w:rsid w:val="002D68DC"/>
    <w:rsid w:val="00326542"/>
    <w:rsid w:val="0034043A"/>
    <w:rsid w:val="00371A0E"/>
    <w:rsid w:val="0038099F"/>
    <w:rsid w:val="00394B69"/>
    <w:rsid w:val="003A0A75"/>
    <w:rsid w:val="003B0AFC"/>
    <w:rsid w:val="003C2475"/>
    <w:rsid w:val="003E607A"/>
    <w:rsid w:val="00462C9A"/>
    <w:rsid w:val="00480FFE"/>
    <w:rsid w:val="004A1E81"/>
    <w:rsid w:val="004A20AB"/>
    <w:rsid w:val="004A318C"/>
    <w:rsid w:val="004D474B"/>
    <w:rsid w:val="004D71DE"/>
    <w:rsid w:val="004E6D18"/>
    <w:rsid w:val="005076CE"/>
    <w:rsid w:val="005339E8"/>
    <w:rsid w:val="00537CBA"/>
    <w:rsid w:val="00555908"/>
    <w:rsid w:val="005648BF"/>
    <w:rsid w:val="00567E5D"/>
    <w:rsid w:val="00572AEC"/>
    <w:rsid w:val="005B2D4E"/>
    <w:rsid w:val="005B42AB"/>
    <w:rsid w:val="005C1F16"/>
    <w:rsid w:val="005D49B0"/>
    <w:rsid w:val="005D4E27"/>
    <w:rsid w:val="005E7744"/>
    <w:rsid w:val="006C0DAE"/>
    <w:rsid w:val="006D1248"/>
    <w:rsid w:val="006D37F3"/>
    <w:rsid w:val="006E4100"/>
    <w:rsid w:val="00703091"/>
    <w:rsid w:val="00711512"/>
    <w:rsid w:val="00714BAC"/>
    <w:rsid w:val="0075238D"/>
    <w:rsid w:val="00786AD4"/>
    <w:rsid w:val="007A33D1"/>
    <w:rsid w:val="007E1D37"/>
    <w:rsid w:val="007E3FE5"/>
    <w:rsid w:val="007F5D7C"/>
    <w:rsid w:val="00800BEF"/>
    <w:rsid w:val="00821C50"/>
    <w:rsid w:val="00850126"/>
    <w:rsid w:val="008542FA"/>
    <w:rsid w:val="00864BEE"/>
    <w:rsid w:val="008A1F7F"/>
    <w:rsid w:val="008F01B3"/>
    <w:rsid w:val="00904858"/>
    <w:rsid w:val="009141D0"/>
    <w:rsid w:val="00923B11"/>
    <w:rsid w:val="00943476"/>
    <w:rsid w:val="009638AE"/>
    <w:rsid w:val="00971671"/>
    <w:rsid w:val="00972C7B"/>
    <w:rsid w:val="009A688E"/>
    <w:rsid w:val="009C7BF4"/>
    <w:rsid w:val="00A012AA"/>
    <w:rsid w:val="00A0402D"/>
    <w:rsid w:val="00A65A4A"/>
    <w:rsid w:val="00A77EDB"/>
    <w:rsid w:val="00AA09FE"/>
    <w:rsid w:val="00AB5DD2"/>
    <w:rsid w:val="00AB6876"/>
    <w:rsid w:val="00AD17F0"/>
    <w:rsid w:val="00AF1ED4"/>
    <w:rsid w:val="00B16CB5"/>
    <w:rsid w:val="00B53ED9"/>
    <w:rsid w:val="00B64E6B"/>
    <w:rsid w:val="00B730C8"/>
    <w:rsid w:val="00B742A9"/>
    <w:rsid w:val="00B84D18"/>
    <w:rsid w:val="00B92581"/>
    <w:rsid w:val="00B92FBF"/>
    <w:rsid w:val="00BC3A7B"/>
    <w:rsid w:val="00BF299B"/>
    <w:rsid w:val="00C109B5"/>
    <w:rsid w:val="00C57451"/>
    <w:rsid w:val="00C8041C"/>
    <w:rsid w:val="00C9678E"/>
    <w:rsid w:val="00CC4829"/>
    <w:rsid w:val="00CF28EF"/>
    <w:rsid w:val="00D345DC"/>
    <w:rsid w:val="00D40196"/>
    <w:rsid w:val="00D42603"/>
    <w:rsid w:val="00D54B56"/>
    <w:rsid w:val="00D55315"/>
    <w:rsid w:val="00D57496"/>
    <w:rsid w:val="00D61B92"/>
    <w:rsid w:val="00D72661"/>
    <w:rsid w:val="00D9534E"/>
    <w:rsid w:val="00DA1BD1"/>
    <w:rsid w:val="00DA5600"/>
    <w:rsid w:val="00DB310D"/>
    <w:rsid w:val="00DC5223"/>
    <w:rsid w:val="00DE4434"/>
    <w:rsid w:val="00E074AB"/>
    <w:rsid w:val="00E2718E"/>
    <w:rsid w:val="00E45F8A"/>
    <w:rsid w:val="00E47937"/>
    <w:rsid w:val="00E63657"/>
    <w:rsid w:val="00E75CB1"/>
    <w:rsid w:val="00EA4748"/>
    <w:rsid w:val="00EA767D"/>
    <w:rsid w:val="00EB29D6"/>
    <w:rsid w:val="00EE094A"/>
    <w:rsid w:val="00EF1B81"/>
    <w:rsid w:val="00EF5B2C"/>
    <w:rsid w:val="00F25775"/>
    <w:rsid w:val="00F3488F"/>
    <w:rsid w:val="00F546A8"/>
    <w:rsid w:val="00F54D3E"/>
    <w:rsid w:val="00F6574C"/>
    <w:rsid w:val="00F67BAE"/>
    <w:rsid w:val="00F81AB5"/>
    <w:rsid w:val="00FB0F82"/>
    <w:rsid w:val="00FC5340"/>
    <w:rsid w:val="00FD6744"/>
    <w:rsid w:val="00FD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0317AF3C"/>
  <w15:docId w15:val="{7AE45CE9-8D08-4BB0-93DA-CAB3AE8B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D1"/>
    <w:pPr>
      <w:spacing w:before="120" w:after="120"/>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109B5"/>
  </w:style>
  <w:style w:type="table" w:styleId="TableGrid">
    <w:name w:val="Table Grid"/>
    <w:basedOn w:val="TableNormal"/>
    <w:rsid w:val="00FD674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Cover Page"/>
    <w:basedOn w:val="Normal"/>
    <w:rsid w:val="00FD6744"/>
    <w:pPr>
      <w:tabs>
        <w:tab w:val="center" w:pos="4153"/>
        <w:tab w:val="right" w:pos="8306"/>
      </w:tabs>
    </w:pPr>
  </w:style>
  <w:style w:type="paragraph" w:styleId="Footer">
    <w:name w:val="footer"/>
    <w:basedOn w:val="Normal"/>
    <w:rsid w:val="00FD6744"/>
    <w:pPr>
      <w:tabs>
        <w:tab w:val="center" w:pos="4153"/>
        <w:tab w:val="right" w:pos="8306"/>
      </w:tabs>
    </w:pPr>
  </w:style>
  <w:style w:type="paragraph" w:styleId="BodyText">
    <w:name w:val="Body Text"/>
    <w:aliases w:val="Tempo Body Text"/>
    <w:basedOn w:val="Normal"/>
    <w:link w:val="BodyTextChar"/>
    <w:rsid w:val="00D9534E"/>
    <w:pPr>
      <w:spacing w:before="60" w:after="80"/>
      <w:ind w:left="431"/>
      <w:jc w:val="both"/>
    </w:pPr>
    <w:rPr>
      <w:rFonts w:ascii="Arial" w:hAnsi="Arial"/>
      <w:szCs w:val="20"/>
      <w:lang w:val="en-US" w:eastAsia="en-US"/>
    </w:rPr>
  </w:style>
  <w:style w:type="character" w:customStyle="1" w:styleId="BodyTextChar">
    <w:name w:val="Body Text Char"/>
    <w:aliases w:val="Tempo Body Text Char"/>
    <w:link w:val="BodyText"/>
    <w:rsid w:val="00D9534E"/>
    <w:rPr>
      <w:rFonts w:ascii="Arial" w:hAnsi="Arial"/>
      <w:lang w:val="en-US" w:eastAsia="en-US" w:bidi="ar-SA"/>
    </w:rPr>
  </w:style>
  <w:style w:type="paragraph" w:customStyle="1" w:styleId="CharCharChar">
    <w:name w:val="Char Char Char"/>
    <w:basedOn w:val="Normal"/>
    <w:rsid w:val="00D9534E"/>
    <w:pPr>
      <w:spacing w:before="0" w:line="240" w:lineRule="exact"/>
    </w:pPr>
    <w:rPr>
      <w:rFonts w:ascii="Verdana" w:hAnsi="Verdana"/>
      <w:lang w:val="en-US" w:eastAsia="en-US"/>
    </w:rPr>
  </w:style>
  <w:style w:type="character" w:customStyle="1" w:styleId="apple-style-span">
    <w:name w:val="apple-style-span"/>
    <w:basedOn w:val="DefaultParagraphFont"/>
    <w:rsid w:val="00D9534E"/>
  </w:style>
  <w:style w:type="paragraph" w:styleId="BalloonText">
    <w:name w:val="Balloon Text"/>
    <w:basedOn w:val="Normal"/>
    <w:semiHidden/>
    <w:rsid w:val="00EF5B2C"/>
    <w:rPr>
      <w:rFonts w:ascii="Tahoma" w:hAnsi="Tahoma" w:cs="Tahoma"/>
      <w:sz w:val="16"/>
      <w:szCs w:val="16"/>
    </w:rPr>
  </w:style>
  <w:style w:type="character" w:styleId="Hyperlink">
    <w:name w:val="Hyperlink"/>
    <w:basedOn w:val="DefaultParagraphFont"/>
    <w:rsid w:val="00B742A9"/>
    <w:rPr>
      <w:color w:val="0000FF"/>
      <w:u w:val="single"/>
    </w:rPr>
  </w:style>
  <w:style w:type="paragraph" w:customStyle="1" w:styleId="StyleBodyTextTempoBodyTextCalibriLeft0cmBefore0">
    <w:name w:val="Style Body TextTempo Body Text + Calibri Left:  0 cm Before:  0 ..."/>
    <w:basedOn w:val="BodyText"/>
    <w:rsid w:val="00C9678E"/>
    <w:pPr>
      <w:spacing w:before="0" w:after="60"/>
      <w:ind w:left="0"/>
    </w:pPr>
    <w:rPr>
      <w:rFonts w:ascii="Calibri" w:hAnsi="Calibri"/>
    </w:rPr>
  </w:style>
  <w:style w:type="character" w:styleId="CommentReference">
    <w:name w:val="annotation reference"/>
    <w:basedOn w:val="DefaultParagraphFont"/>
    <w:semiHidden/>
    <w:rsid w:val="00005B17"/>
    <w:rPr>
      <w:sz w:val="16"/>
      <w:szCs w:val="16"/>
    </w:rPr>
  </w:style>
  <w:style w:type="paragraph" w:styleId="CommentText">
    <w:name w:val="annotation text"/>
    <w:basedOn w:val="Normal"/>
    <w:semiHidden/>
    <w:rsid w:val="00005B1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7" Type="http://schemas.openxmlformats.org/officeDocument/2006/relationships/webSettings" Target="webSetting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package" Target="embeddings/Microsoft_Visio_Drawing1.vsdx"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e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E1CE5F1E-1905-4E28-8521-A8F063EA5E94}">
  <ds:schemaRefs>
    <ds:schemaRef ds:uri="http://purl.org/dc/elements/1.1/"/>
    <ds:schemaRef ds:uri="http://schemas.microsoft.com/office/2006/metadata/properties"/>
    <ds:schemaRef ds:uri="http://schemas.microsoft.com/office/2006/documentManagement/types"/>
    <ds:schemaRef ds:uri="d45bf06b-ced4-4b5b-b053-fdcd39fc38b7"/>
    <ds:schemaRef ds:uri="9a6e6d57-2ef8-48c4-a956-d817b43c119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991A170-4E32-4627-82A5-E85A91FE1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e6d57-2ef8-48c4-a956-d817b43c1198"/>
    <ds:schemaRef ds:uri="d45bf06b-ced4-4b5b-b053-fdcd39fc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4028-F6B4-4F58-9820-E418C0B50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NHS National Services Scotland</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Don Millard</dc:creator>
  <cp:lastModifiedBy>Chidwick, Valerie</cp:lastModifiedBy>
  <cp:revision>2</cp:revision>
  <dcterms:created xsi:type="dcterms:W3CDTF">2023-05-15T15:12:00Z</dcterms:created>
  <dcterms:modified xsi:type="dcterms:W3CDTF">2023-05-15T15:12:00Z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0x010100C949567E1FD9AE439E02D2973B1AD62E</vt:lpwstr>
  </property>
</Properties>
</file>