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5F3" w14:textId="77203D0C" w:rsidR="00B97784" w:rsidRPr="007E3CF1" w:rsidRDefault="00323B16" w:rsidP="007E3CF1">
      <w:pPr>
        <w:pStyle w:val="Heading1"/>
        <w:jc w:val="center"/>
        <w:rPr>
          <w:sz w:val="36"/>
          <w:szCs w:val="36"/>
        </w:rPr>
      </w:pPr>
      <w:bookmarkStart w:id="0" w:name="_GoBack"/>
      <w:bookmarkEnd w:id="0"/>
      <w:r w:rsidRPr="007E3CF1">
        <w:rPr>
          <w:sz w:val="36"/>
          <w:szCs w:val="36"/>
        </w:rPr>
        <w:t>The Right Decision Service</w:t>
      </w:r>
      <w:r w:rsidR="006140B4" w:rsidRPr="007E3CF1">
        <w:rPr>
          <w:sz w:val="36"/>
          <w:szCs w:val="36"/>
        </w:rPr>
        <w:t xml:space="preserve"> (RDS</w:t>
      </w:r>
      <w:r w:rsidR="007E3CF1" w:rsidRPr="007E3CF1">
        <w:rPr>
          <w:sz w:val="36"/>
          <w:szCs w:val="36"/>
        </w:rPr>
        <w:t>)</w:t>
      </w:r>
    </w:p>
    <w:p w14:paraId="0B59D84E" w14:textId="77777777" w:rsidR="007E3CF1" w:rsidRDefault="007E3CF1" w:rsidP="00814BD8">
      <w:pPr>
        <w:spacing w:after="0" w:line="240" w:lineRule="auto"/>
        <w:rPr>
          <w:rFonts w:cstheme="minorHAnsi"/>
        </w:rPr>
      </w:pPr>
    </w:p>
    <w:p w14:paraId="7A81F73F" w14:textId="34751956" w:rsidR="00814BD8" w:rsidRDefault="00323B16" w:rsidP="00814BD8">
      <w:pPr>
        <w:spacing w:after="0" w:line="240" w:lineRule="auto"/>
        <w:rPr>
          <w:rFonts w:eastAsia="Calibri" w:hAnsi="Calibri"/>
          <w:color w:val="000000" w:themeColor="text1"/>
          <w:kern w:val="24"/>
        </w:rPr>
      </w:pPr>
      <w:r w:rsidRPr="001D7F2F">
        <w:rPr>
          <w:rFonts w:cstheme="minorHAnsi"/>
        </w:rPr>
        <w:t>The Right Decision Service</w:t>
      </w:r>
      <w:r w:rsidR="00B97784">
        <w:rPr>
          <w:rStyle w:val="EndnoteReference"/>
          <w:rFonts w:cstheme="minorHAnsi"/>
        </w:rPr>
        <w:endnoteReference w:id="1"/>
      </w:r>
      <w:r w:rsidRPr="001D7F2F">
        <w:rPr>
          <w:rFonts w:cstheme="minorHAnsi"/>
        </w:rPr>
        <w:t xml:space="preserve"> is the national decision support </w:t>
      </w:r>
      <w:r w:rsidR="001D7F2F" w:rsidRPr="001D7F2F">
        <w:rPr>
          <w:rFonts w:cstheme="minorHAnsi"/>
        </w:rPr>
        <w:t xml:space="preserve">service </w:t>
      </w:r>
      <w:r w:rsidRPr="001D7F2F">
        <w:rPr>
          <w:rFonts w:cstheme="minorHAnsi"/>
        </w:rPr>
        <w:t xml:space="preserve">for Scotland’s health and social care.  </w:t>
      </w:r>
      <w:r w:rsidR="001D7F2F">
        <w:rPr>
          <w:rFonts w:cstheme="minorHAnsi"/>
        </w:rPr>
        <w:t xml:space="preserve">Its mission is to </w:t>
      </w:r>
      <w:r w:rsidR="001D7F2F" w:rsidRPr="00772369">
        <w:rPr>
          <w:rFonts w:cstheme="minorHAnsi"/>
          <w:b/>
          <w:bCs/>
        </w:rPr>
        <w:t>p</w:t>
      </w:r>
      <w:r w:rsidR="001D7F2F" w:rsidRPr="00772369">
        <w:rPr>
          <w:rFonts w:ascii="Calibri" w:eastAsia="Calibri" w:hAnsi="Calibri" w:cs="Calibri"/>
          <w:b/>
          <w:bCs/>
          <w:color w:val="000000" w:themeColor="text1"/>
          <w:kern w:val="24"/>
        </w:rPr>
        <w:t>rovide a ‘Once for Scotland’ source of digital tools that enable health and care staff and citizens to make safe decisions quickly ‘on the go,’ based on validated evidence.</w:t>
      </w:r>
      <w:r w:rsidR="001D7F2F">
        <w:rPr>
          <w:rFonts w:ascii="Calibri" w:eastAsia="Calibri" w:hAnsi="Calibri" w:cs="Calibri"/>
          <w:color w:val="000000" w:themeColor="text1"/>
          <w:kern w:val="24"/>
        </w:rPr>
        <w:t xml:space="preserve"> These decision support tools put evidence into the hands of staff and citizens by working through </w:t>
      </w:r>
      <w:r w:rsidR="001D7F2F" w:rsidRPr="001D7F2F">
        <w:rPr>
          <w:rFonts w:eastAsia="Calibri" w:hAnsi="Calibri"/>
          <w:color w:val="000000" w:themeColor="text1"/>
          <w:kern w:val="24"/>
        </w:rPr>
        <w:t>day-to-day technology – web and mobile apps, and embedd</w:t>
      </w:r>
      <w:r w:rsidR="001D7F2F">
        <w:rPr>
          <w:rFonts w:eastAsia="Calibri" w:hAnsi="Calibri"/>
          <w:color w:val="000000" w:themeColor="text1"/>
          <w:kern w:val="24"/>
        </w:rPr>
        <w:t>ing</w:t>
      </w:r>
      <w:r w:rsidR="001D7F2F" w:rsidRPr="001D7F2F">
        <w:rPr>
          <w:rFonts w:eastAsia="Calibri" w:hAnsi="Calibri"/>
          <w:color w:val="000000" w:themeColor="text1"/>
          <w:kern w:val="24"/>
        </w:rPr>
        <w:t xml:space="preserve"> in electronic </w:t>
      </w:r>
      <w:r w:rsidR="001D7F2F">
        <w:rPr>
          <w:rFonts w:eastAsia="Calibri" w:hAnsi="Calibri"/>
          <w:color w:val="000000" w:themeColor="text1"/>
          <w:kern w:val="24"/>
        </w:rPr>
        <w:t xml:space="preserve">care systems. </w:t>
      </w:r>
    </w:p>
    <w:p w14:paraId="704699BF" w14:textId="6D308C44" w:rsidR="001D7F2F" w:rsidRPr="001D7F2F" w:rsidRDefault="001D7F2F" w:rsidP="00814BD8">
      <w:pPr>
        <w:spacing w:after="0" w:line="240" w:lineRule="auto"/>
        <w:rPr>
          <w:color w:val="009760"/>
          <w:sz w:val="40"/>
        </w:rPr>
      </w:pPr>
      <w:r w:rsidRPr="001D7F2F">
        <w:rPr>
          <w:rFonts w:eastAsia="Calibri" w:hAnsi="Calibri"/>
          <w:color w:val="000000" w:themeColor="text1"/>
          <w:kern w:val="24"/>
          <w:sz w:val="40"/>
          <w:szCs w:val="40"/>
        </w:rPr>
        <w:t xml:space="preserve"> </w:t>
      </w:r>
    </w:p>
    <w:p w14:paraId="52916064" w14:textId="337B4C91" w:rsidR="00B97784" w:rsidRDefault="00814BD8" w:rsidP="00772369">
      <w:pPr>
        <w:pStyle w:val="Heading2"/>
        <w:numPr>
          <w:ilvl w:val="0"/>
          <w:numId w:val="16"/>
        </w:numPr>
        <w:spacing w:before="0"/>
      </w:pPr>
      <w:r>
        <w:t xml:space="preserve">Support for national strategic </w:t>
      </w:r>
      <w:r w:rsidR="00B97784">
        <w:t>priorities</w:t>
      </w:r>
    </w:p>
    <w:p w14:paraId="67460F16" w14:textId="6D939A3F" w:rsidR="001D7F2F" w:rsidRDefault="001D7F2F" w:rsidP="00B97784">
      <w:pPr>
        <w:pStyle w:val="NormalWeb"/>
        <w:spacing w:before="0" w:beforeAutospacing="0" w:after="0" w:afterAutospacing="0" w:line="259" w:lineRule="auto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>Delivery of the Right Decision Service</w:t>
      </w:r>
      <w:r w:rsidR="00323B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is endorsed by Scottish Government Digital Health and Care as a key objective within </w:t>
      </w:r>
      <w:hyperlink r:id="rId8" w:history="1">
        <w:r w:rsidRPr="00323B16">
          <w:rPr>
            <w:rStyle w:val="Hyperlink"/>
            <w:rFonts w:asciiTheme="minorHAnsi" w:hAnsiTheme="minorHAnsi" w:cstheme="minorHAnsi"/>
            <w:sz w:val="22"/>
            <w:szCs w:val="22"/>
          </w:rPr>
          <w:t>Scotland’s Digital Health and Care Strategy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the </w:t>
      </w:r>
      <w:hyperlink r:id="rId9" w:history="1">
        <w:r w:rsidRPr="00323B16">
          <w:rPr>
            <w:rStyle w:val="Hyperlink"/>
            <w:rFonts w:asciiTheme="minorHAnsi" w:hAnsiTheme="minorHAnsi" w:cstheme="minorHAnsi"/>
            <w:sz w:val="22"/>
            <w:szCs w:val="22"/>
          </w:rPr>
          <w:t>Health and Social Care Data Strategy</w:t>
        </w:r>
      </w:hyperlink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.  The national </w:t>
      </w:r>
      <w:hyperlink r:id="rId10" w:history="1">
        <w:r w:rsidRPr="00323B16">
          <w:rPr>
            <w:rStyle w:val="Hyperlink"/>
            <w:rFonts w:asciiTheme="minorHAnsi" w:hAnsiTheme="minorHAnsi" w:cstheme="minorHAnsi"/>
            <w:sz w:val="22"/>
            <w:szCs w:val="22"/>
          </w:rPr>
          <w:t>Vision for Value-Based Health and Care</w:t>
        </w:r>
      </w:hyperlink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underlines the role of the Right Decision Service as a key enabler of safe and timely care, improving consistency in practice and  helping to maximise benefit from existing resource.</w:t>
      </w:r>
    </w:p>
    <w:p w14:paraId="07914924" w14:textId="77777777" w:rsidR="00B97784" w:rsidRDefault="00B97784" w:rsidP="00B97784">
      <w:pPr>
        <w:pStyle w:val="Heading2"/>
        <w:rPr>
          <w:rStyle w:val="Hyperlink"/>
          <w:color w:val="2F5496" w:themeColor="accent1" w:themeShade="BF"/>
          <w:u w:val="none"/>
        </w:rPr>
      </w:pPr>
    </w:p>
    <w:p w14:paraId="04DE4D71" w14:textId="0EB49325" w:rsidR="00B97784" w:rsidRPr="00B97784" w:rsidRDefault="00B97784" w:rsidP="00772369">
      <w:pPr>
        <w:pStyle w:val="Heading2"/>
        <w:numPr>
          <w:ilvl w:val="0"/>
          <w:numId w:val="16"/>
        </w:numPr>
        <w:spacing w:before="0"/>
        <w:rPr>
          <w:rStyle w:val="Hyperlink"/>
          <w:color w:val="2F5496" w:themeColor="accent1" w:themeShade="BF"/>
          <w:u w:val="none"/>
        </w:rPr>
      </w:pPr>
      <w:r w:rsidRPr="00B97784">
        <w:rPr>
          <w:rStyle w:val="Hyperlink"/>
          <w:color w:val="2F5496" w:themeColor="accent1" w:themeShade="BF"/>
          <w:u w:val="none"/>
        </w:rPr>
        <w:t>National roll-out and transition to H</w:t>
      </w:r>
      <w:r w:rsidR="006140B4">
        <w:rPr>
          <w:rStyle w:val="Hyperlink"/>
          <w:color w:val="2F5496" w:themeColor="accent1" w:themeShade="BF"/>
          <w:u w:val="none"/>
        </w:rPr>
        <w:t>ealthcare Improvement Scotland</w:t>
      </w:r>
    </w:p>
    <w:p w14:paraId="7710B5F0" w14:textId="6E51D2A4" w:rsidR="00323B16" w:rsidRDefault="001D7F2F" w:rsidP="00B97784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 Right Decision Service was </w:t>
      </w:r>
      <w:r w:rsidR="00323B16">
        <w:rPr>
          <w:rFonts w:asciiTheme="minorHAnsi" w:hAnsiTheme="minorHAnsi" w:cstheme="minorHAnsi"/>
          <w:sz w:val="22"/>
          <w:szCs w:val="22"/>
        </w:rPr>
        <w:t xml:space="preserve">originally developed </w:t>
      </w:r>
      <w:r w:rsidR="00942F68">
        <w:rPr>
          <w:rFonts w:asciiTheme="minorHAnsi" w:hAnsiTheme="minorHAnsi" w:cstheme="minorHAnsi"/>
          <w:sz w:val="22"/>
          <w:szCs w:val="22"/>
        </w:rPr>
        <w:t>in its pilot form</w:t>
      </w:r>
      <w:r w:rsidR="00E967FA">
        <w:rPr>
          <w:rFonts w:asciiTheme="minorHAnsi" w:hAnsiTheme="minorHAnsi" w:cstheme="minorHAnsi"/>
          <w:sz w:val="22"/>
          <w:szCs w:val="22"/>
        </w:rPr>
        <w:t>,</w:t>
      </w:r>
      <w:r w:rsidR="00942F68">
        <w:rPr>
          <w:rFonts w:asciiTheme="minorHAnsi" w:hAnsiTheme="minorHAnsi" w:cstheme="minorHAnsi"/>
          <w:sz w:val="22"/>
          <w:szCs w:val="22"/>
        </w:rPr>
        <w:t xml:space="preserve"> </w:t>
      </w:r>
      <w:r w:rsidR="00B97784">
        <w:rPr>
          <w:rFonts w:asciiTheme="minorHAnsi" w:hAnsiTheme="minorHAnsi" w:cstheme="minorHAnsi"/>
          <w:sz w:val="22"/>
          <w:szCs w:val="22"/>
        </w:rPr>
        <w:t xml:space="preserve">and implemented with </w:t>
      </w:r>
      <w:r w:rsidR="00942F68">
        <w:rPr>
          <w:rFonts w:asciiTheme="minorHAnsi" w:hAnsiTheme="minorHAnsi" w:cstheme="minorHAnsi"/>
          <w:sz w:val="22"/>
          <w:szCs w:val="22"/>
        </w:rPr>
        <w:t>early adopters</w:t>
      </w:r>
      <w:r w:rsidR="00E967FA">
        <w:rPr>
          <w:rFonts w:asciiTheme="minorHAnsi" w:hAnsiTheme="minorHAnsi" w:cstheme="minorHAnsi"/>
          <w:sz w:val="22"/>
          <w:szCs w:val="22"/>
        </w:rPr>
        <w:t>,</w:t>
      </w:r>
      <w:r w:rsidR="00942F68">
        <w:rPr>
          <w:rFonts w:asciiTheme="minorHAnsi" w:hAnsiTheme="minorHAnsi" w:cstheme="minorHAnsi"/>
          <w:sz w:val="22"/>
          <w:szCs w:val="22"/>
        </w:rPr>
        <w:t xml:space="preserve"> </w:t>
      </w:r>
      <w:r w:rsidR="00323B16">
        <w:rPr>
          <w:rFonts w:asciiTheme="minorHAnsi" w:hAnsiTheme="minorHAnsi" w:cstheme="minorHAnsi"/>
          <w:sz w:val="22"/>
          <w:szCs w:val="22"/>
        </w:rPr>
        <w:t>by the Digital Health and Care Innovation Centre</w:t>
      </w:r>
      <w:r w:rsidR="00942F68">
        <w:rPr>
          <w:rFonts w:asciiTheme="minorHAnsi" w:hAnsiTheme="minorHAnsi" w:cstheme="minorHAnsi"/>
          <w:sz w:val="22"/>
          <w:szCs w:val="22"/>
        </w:rPr>
        <w:t xml:space="preserve">. Scottish Government Digital Health and Care is now funding a three-year national scale-up, from April 2022 to end of March 2025. A key element of this national roll-out is </w:t>
      </w:r>
      <w:r w:rsidR="00323B16">
        <w:rPr>
          <w:rFonts w:asciiTheme="minorHAnsi" w:hAnsiTheme="minorHAnsi" w:cstheme="minorHAnsi"/>
          <w:sz w:val="22"/>
          <w:szCs w:val="22"/>
        </w:rPr>
        <w:t xml:space="preserve">transitioning </w:t>
      </w:r>
      <w:r w:rsidR="00942F68">
        <w:rPr>
          <w:rFonts w:asciiTheme="minorHAnsi" w:hAnsiTheme="minorHAnsi" w:cstheme="minorHAnsi"/>
          <w:sz w:val="22"/>
          <w:szCs w:val="22"/>
        </w:rPr>
        <w:t>of</w:t>
      </w:r>
      <w:r w:rsidR="00323B16">
        <w:rPr>
          <w:rFonts w:asciiTheme="minorHAnsi" w:hAnsiTheme="minorHAnsi" w:cstheme="minorHAnsi"/>
          <w:sz w:val="22"/>
          <w:szCs w:val="22"/>
        </w:rPr>
        <w:t xml:space="preserve"> ownership </w:t>
      </w:r>
      <w:r w:rsidR="00942F68">
        <w:rPr>
          <w:rFonts w:asciiTheme="minorHAnsi" w:hAnsiTheme="minorHAnsi" w:cstheme="minorHAnsi"/>
          <w:sz w:val="22"/>
          <w:szCs w:val="22"/>
        </w:rPr>
        <w:t>of the Right Decision Service to</w:t>
      </w:r>
      <w:r w:rsidR="00323B16">
        <w:rPr>
          <w:rFonts w:asciiTheme="minorHAnsi" w:hAnsiTheme="minorHAnsi" w:cstheme="minorHAnsi"/>
          <w:sz w:val="22"/>
          <w:szCs w:val="22"/>
        </w:rPr>
        <w:t xml:space="preserve"> Healthcare Improvement </w:t>
      </w:r>
      <w:r w:rsidR="00323B16" w:rsidRPr="001C63A4">
        <w:rPr>
          <w:rFonts w:asciiTheme="minorHAnsi" w:hAnsiTheme="minorHAnsi" w:cstheme="minorHAnsi"/>
          <w:sz w:val="22"/>
          <w:szCs w:val="22"/>
        </w:rPr>
        <w:t>Scotland</w:t>
      </w:r>
      <w:r w:rsidR="00323B16">
        <w:rPr>
          <w:rFonts w:asciiTheme="minorHAnsi" w:hAnsiTheme="minorHAnsi" w:cstheme="minorHAnsi"/>
          <w:sz w:val="22"/>
          <w:szCs w:val="22"/>
        </w:rPr>
        <w:t xml:space="preserve">.  </w:t>
      </w:r>
      <w:r w:rsidR="00942F68">
        <w:rPr>
          <w:rFonts w:asciiTheme="minorHAnsi" w:hAnsiTheme="minorHAnsi" w:cstheme="minorHAnsi"/>
          <w:sz w:val="22"/>
          <w:szCs w:val="22"/>
        </w:rPr>
        <w:t>This will embed the Right Decision Service as a mainstream NHS resource and lay foundations for delivery as a long term core NHS service.</w:t>
      </w:r>
    </w:p>
    <w:p w14:paraId="0ED808A1" w14:textId="77777777" w:rsidR="00B97784" w:rsidRDefault="00B97784" w:rsidP="00B97784">
      <w:pPr>
        <w:pStyle w:val="Heading2"/>
        <w:rPr>
          <w:lang w:eastAsia="en-GB"/>
        </w:rPr>
      </w:pPr>
    </w:p>
    <w:p w14:paraId="11B063DE" w14:textId="618A6A61" w:rsidR="00942F68" w:rsidRPr="00942F68" w:rsidRDefault="00942F68" w:rsidP="00772369">
      <w:pPr>
        <w:pStyle w:val="Heading2"/>
        <w:numPr>
          <w:ilvl w:val="0"/>
          <w:numId w:val="16"/>
        </w:numPr>
        <w:rPr>
          <w:lang w:eastAsia="en-GB"/>
        </w:rPr>
      </w:pPr>
      <w:r w:rsidRPr="00942F68">
        <w:rPr>
          <w:lang w:eastAsia="en-GB"/>
        </w:rPr>
        <w:t xml:space="preserve">Components of the Right Decision Service </w:t>
      </w:r>
    </w:p>
    <w:p w14:paraId="36F3ED8D" w14:textId="444DA2A5" w:rsidR="00942F68" w:rsidRPr="00942F68" w:rsidRDefault="00942F68" w:rsidP="00B97784">
      <w:pPr>
        <w:tabs>
          <w:tab w:val="left" w:pos="720"/>
        </w:tabs>
        <w:spacing w:after="0"/>
        <w:ind w:right="147"/>
        <w:textAlignment w:val="baseline"/>
        <w:rPr>
          <w:rFonts w:cstheme="minorHAnsi"/>
          <w:lang w:eastAsia="en-GB"/>
        </w:rPr>
      </w:pPr>
      <w:r w:rsidRPr="00942F68">
        <w:rPr>
          <w:rFonts w:cstheme="minorHAnsi"/>
          <w:lang w:eastAsia="en-GB"/>
        </w:rPr>
        <w:t>The R</w:t>
      </w:r>
      <w:r>
        <w:rPr>
          <w:rFonts w:cstheme="minorHAnsi"/>
          <w:lang w:eastAsia="en-GB"/>
        </w:rPr>
        <w:t>ight Decision Service</w:t>
      </w:r>
      <w:r w:rsidRPr="00942F68">
        <w:rPr>
          <w:rFonts w:cstheme="minorHAnsi"/>
          <w:lang w:eastAsia="en-GB"/>
        </w:rPr>
        <w:t xml:space="preserve"> comprises:</w:t>
      </w:r>
    </w:p>
    <w:p w14:paraId="46ED1303" w14:textId="274F1B6E" w:rsidR="00942F68" w:rsidRPr="00942F68" w:rsidRDefault="00942F68" w:rsidP="00B97784">
      <w:pPr>
        <w:numPr>
          <w:ilvl w:val="0"/>
          <w:numId w:val="2"/>
        </w:numPr>
        <w:tabs>
          <w:tab w:val="left" w:pos="720"/>
        </w:tabs>
        <w:spacing w:after="0"/>
        <w:ind w:right="147"/>
        <w:contextualSpacing/>
        <w:textAlignment w:val="baseline"/>
        <w:rPr>
          <w:rFonts w:eastAsia="Times New Roman" w:cstheme="minorHAnsi"/>
          <w:lang w:eastAsia="en-GB"/>
        </w:rPr>
      </w:pPr>
      <w:r w:rsidRPr="00942F68">
        <w:rPr>
          <w:rFonts w:eastAsia="Times New Roman" w:cstheme="minorHAnsi"/>
          <w:b/>
          <w:bCs/>
          <w:lang w:eastAsia="en-GB"/>
        </w:rPr>
        <w:t xml:space="preserve">A national platform which delivers </w:t>
      </w:r>
      <w:r w:rsidRPr="00942F68">
        <w:rPr>
          <w:rFonts w:eastAsia="Times New Roman" w:cstheme="minorHAnsi"/>
          <w:lang w:eastAsia="en-GB"/>
        </w:rPr>
        <w:t xml:space="preserve">web and mobile decision support tools via </w:t>
      </w:r>
      <w:r>
        <w:rPr>
          <w:rFonts w:eastAsia="Times New Roman" w:cstheme="minorHAnsi"/>
          <w:lang w:eastAsia="en-GB"/>
        </w:rPr>
        <w:t xml:space="preserve">the </w:t>
      </w:r>
      <w:r w:rsidRPr="00942F68">
        <w:rPr>
          <w:rFonts w:eastAsia="Times New Roman" w:cstheme="minorHAnsi"/>
          <w:lang w:eastAsia="en-GB"/>
        </w:rPr>
        <w:t xml:space="preserve">Once for Scotland RDS app and website and decision support integrated with electronic care record systems. </w:t>
      </w:r>
    </w:p>
    <w:p w14:paraId="0FFF3D4C" w14:textId="4E7233E2" w:rsidR="00942F68" w:rsidRPr="00942F68" w:rsidRDefault="00942F68" w:rsidP="00B97784">
      <w:pPr>
        <w:numPr>
          <w:ilvl w:val="0"/>
          <w:numId w:val="2"/>
        </w:numPr>
        <w:tabs>
          <w:tab w:val="left" w:pos="720"/>
        </w:tabs>
        <w:spacing w:after="0"/>
        <w:ind w:right="147"/>
        <w:contextualSpacing/>
        <w:textAlignment w:val="baseline"/>
        <w:rPr>
          <w:rFonts w:eastAsia="Times New Roman" w:cstheme="minorHAnsi"/>
          <w:lang w:eastAsia="en-GB"/>
        </w:rPr>
      </w:pPr>
      <w:r w:rsidRPr="00942F68">
        <w:rPr>
          <w:rFonts w:eastAsia="Times New Roman" w:cstheme="minorHAnsi"/>
          <w:b/>
          <w:bCs/>
          <w:lang w:eastAsia="en-GB"/>
        </w:rPr>
        <w:t>A ‘no-code’ decision support builder toolset</w:t>
      </w:r>
      <w:r w:rsidRPr="00942F68">
        <w:rPr>
          <w:rFonts w:eastAsia="Times New Roman" w:cstheme="minorHAnsi"/>
          <w:lang w:eastAsia="en-GB"/>
        </w:rPr>
        <w:t xml:space="preserve">.  This enables trained editors in local and national teams to </w:t>
      </w:r>
      <w:r w:rsidR="00E03DAA" w:rsidRPr="00E03DAA">
        <w:t>translate guidelines, research evidence and best practice and large datasets into computerised knowledge</w:t>
      </w:r>
      <w:r w:rsidR="00E03DAA" w:rsidRPr="00942F68">
        <w:rPr>
          <w:rFonts w:eastAsia="Times New Roman" w:cstheme="minorHAnsi"/>
          <w:lang w:eastAsia="en-GB"/>
        </w:rPr>
        <w:t xml:space="preserve"> </w:t>
      </w:r>
      <w:r w:rsidR="00E03DAA">
        <w:rPr>
          <w:rFonts w:eastAsia="Times New Roman" w:cstheme="minorHAnsi"/>
          <w:lang w:eastAsia="en-GB"/>
        </w:rPr>
        <w:t>which is then delivered through web and mobile apps and electronic care systems.</w:t>
      </w:r>
    </w:p>
    <w:p w14:paraId="4DDF52F7" w14:textId="77777777" w:rsidR="00942F68" w:rsidRPr="00942F68" w:rsidRDefault="00942F68" w:rsidP="00B97784">
      <w:pPr>
        <w:numPr>
          <w:ilvl w:val="0"/>
          <w:numId w:val="2"/>
        </w:numPr>
        <w:tabs>
          <w:tab w:val="left" w:pos="720"/>
        </w:tabs>
        <w:spacing w:after="0"/>
        <w:ind w:right="147"/>
        <w:contextualSpacing/>
        <w:textAlignment w:val="baseline"/>
        <w:rPr>
          <w:rFonts w:eastAsia="Times New Roman" w:cstheme="minorHAnsi"/>
          <w:lang w:eastAsia="en-GB"/>
        </w:rPr>
      </w:pPr>
      <w:r w:rsidRPr="00942F68">
        <w:rPr>
          <w:rFonts w:eastAsia="Times New Roman" w:cstheme="minorHAnsi"/>
          <w:b/>
          <w:bCs/>
          <w:lang w:eastAsia="en-GB"/>
        </w:rPr>
        <w:t>Governance, implementation support and training</w:t>
      </w:r>
      <w:r w:rsidRPr="00942F68">
        <w:rPr>
          <w:rFonts w:eastAsia="Times New Roman" w:cstheme="minorHAnsi"/>
          <w:lang w:eastAsia="en-GB"/>
        </w:rPr>
        <w:t xml:space="preserve"> to facilitate embedding of decision support in day to day activities across health and social care.</w:t>
      </w:r>
    </w:p>
    <w:p w14:paraId="241CD862" w14:textId="77777777" w:rsidR="00323B16" w:rsidRDefault="00323B16"/>
    <w:p w14:paraId="2C43AD0A" w14:textId="2D4C464C" w:rsidR="003972DA" w:rsidRDefault="003972DA" w:rsidP="00772369">
      <w:pPr>
        <w:pStyle w:val="Heading2"/>
        <w:numPr>
          <w:ilvl w:val="0"/>
          <w:numId w:val="16"/>
        </w:numPr>
      </w:pPr>
      <w:r>
        <w:t>Adoption at scale</w:t>
      </w:r>
    </w:p>
    <w:p w14:paraId="3B3C0382" w14:textId="373FF917" w:rsidR="003972DA" w:rsidRPr="00E967FA" w:rsidRDefault="003972DA" w:rsidP="00E967FA">
      <w:pPr>
        <w:spacing w:after="0"/>
        <w:rPr>
          <w:color w:val="000000" w:themeColor="text1"/>
        </w:rPr>
      </w:pPr>
      <w:r w:rsidRPr="00E967FA">
        <w:rPr>
          <w:color w:val="000000" w:themeColor="text1"/>
        </w:rPr>
        <w:t>During the first year of the national roll-out programme, the Right Decision Service is already evidencing adoption at scale:</w:t>
      </w:r>
    </w:p>
    <w:p w14:paraId="083ED752" w14:textId="42E796EE" w:rsidR="003972DA" w:rsidRPr="00E967FA" w:rsidRDefault="003972DA" w:rsidP="00E967FA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11 of the 14 territorial boards, 6 health and social care partnerships, 4 national NHS Boards, 3 national social care organisations, 8 national programmes</w:t>
      </w:r>
      <w:r w:rsidR="00EC296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are using the RDS to deliver decision support tools that support their priorities.</w:t>
      </w:r>
    </w:p>
    <w:p w14:paraId="6E1B8DC5" w14:textId="604F3FFB" w:rsidR="003972DA" w:rsidRPr="00E967FA" w:rsidRDefault="003972DA" w:rsidP="00E967F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 xml:space="preserve">Over 150 tools are delivered through the Right Decision Service platform, packaged </w:t>
      </w:r>
      <w:r w:rsidR="00C33844"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into web</w:t>
      </w: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mobile apps and patient-specific alerts and recommendations embedded in electronic care systems.</w:t>
      </w:r>
    </w:p>
    <w:p w14:paraId="321AC2AB" w14:textId="777C25AF" w:rsidR="003972DA" w:rsidRPr="00E967FA" w:rsidRDefault="003972DA" w:rsidP="00E967F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Between 1 January and mid-December 2022, </w:t>
      </w:r>
      <w:r w:rsidR="00EC296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Right Decision Service as a whole </w:t>
      </w: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received 1,005,865 unique users and 6.5 million page views. This includes </w:t>
      </w:r>
      <w:r w:rsidR="00C33844"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several apps</w:t>
      </w: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that went live only between April and September 2022.</w:t>
      </w:r>
    </w:p>
    <w:p w14:paraId="7FF728BB" w14:textId="3BDE59CB" w:rsidR="003972DA" w:rsidRDefault="003972DA" w:rsidP="00E967F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NHS Tayside and NHS Lothian have embarked on organisation-wide implementation of the Right Decision Service high risk prescribing decision support in primary care E H R systems. NHS Ayrshire and Arran, NHS Forth Valley, NHS Greater Glasgow and Clyde, NHS Dumfries and </w:t>
      </w:r>
      <w:r w:rsidR="00C33844"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Galloway have</w:t>
      </w:r>
      <w:r w:rsidRPr="00E967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approved pilots as a precursor to wider roll-out. </w:t>
      </w:r>
    </w:p>
    <w:p w14:paraId="707309B4" w14:textId="77777777" w:rsidR="00E967FA" w:rsidRPr="00E967FA" w:rsidRDefault="00E967FA" w:rsidP="00E967FA">
      <w:pPr>
        <w:pStyle w:val="ListParagraph"/>
        <w:spacing w:line="259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522582B6" w14:textId="7593F419" w:rsidR="00B27EE6" w:rsidRDefault="00772369" w:rsidP="007E3CF1">
      <w:pPr>
        <w:pStyle w:val="Heading2"/>
      </w:pPr>
      <w:r>
        <w:t>5.</w:t>
      </w:r>
      <w:r w:rsidR="00B27EE6">
        <w:t xml:space="preserve"> Supporting value-based health and care priorities</w:t>
      </w:r>
    </w:p>
    <w:p w14:paraId="7AB70E57" w14:textId="7758FEE3" w:rsidR="00B97D38" w:rsidRPr="00321E9F" w:rsidRDefault="00B97D38" w:rsidP="00772369">
      <w:pPr>
        <w:spacing w:after="0"/>
        <w:contextualSpacing/>
      </w:pPr>
      <w:r w:rsidRPr="00321E9F">
        <w:t xml:space="preserve">The Right Decision Service </w:t>
      </w:r>
      <w:r w:rsidR="007E3CF1">
        <w:t xml:space="preserve">delivers </w:t>
      </w:r>
      <w:r w:rsidR="002A4886" w:rsidRPr="00321E9F">
        <w:t xml:space="preserve">a range of </w:t>
      </w:r>
      <w:r w:rsidRPr="00321E9F">
        <w:t>tools</w:t>
      </w:r>
      <w:r w:rsidR="002A4886" w:rsidRPr="00321E9F">
        <w:t xml:space="preserve"> that </w:t>
      </w:r>
      <w:r w:rsidR="00C33844" w:rsidRPr="00321E9F">
        <w:t>support top</w:t>
      </w:r>
      <w:r w:rsidR="002A4886" w:rsidRPr="00321E9F">
        <w:t xml:space="preserve"> priorities for value-based</w:t>
      </w:r>
      <w:r w:rsidRPr="00321E9F">
        <w:t xml:space="preserve"> health and care priorities </w:t>
      </w:r>
    </w:p>
    <w:p w14:paraId="3E8C020A" w14:textId="77777777" w:rsidR="00B97D38" w:rsidRPr="00321E9F" w:rsidRDefault="00B97D38" w:rsidP="00E967FA">
      <w:pPr>
        <w:pStyle w:val="ListParagraph"/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1E9F">
        <w:rPr>
          <w:rFonts w:asciiTheme="minorHAnsi" w:hAnsiTheme="minorHAnsi" w:cstheme="minorHAnsi"/>
          <w:b/>
          <w:bCs/>
          <w:sz w:val="22"/>
          <w:szCs w:val="22"/>
        </w:rPr>
        <w:t>Urgent and unscheduled care</w:t>
      </w:r>
      <w:r w:rsidRPr="00321E9F">
        <w:rPr>
          <w:rFonts w:asciiTheme="minorHAnsi" w:hAnsiTheme="minorHAnsi" w:cstheme="minorHAnsi"/>
          <w:sz w:val="22"/>
          <w:szCs w:val="22"/>
        </w:rPr>
        <w:t xml:space="preserve"> – including web-based decision support for patient flow in emergency care; a web and mobile app to support primary care practitioners in paediatric unscheduled care; and patient-specific alerting to prevent medicines-related harm and emergency admissions.</w:t>
      </w:r>
    </w:p>
    <w:p w14:paraId="1C36FF2B" w14:textId="525C682A" w:rsidR="00B97D38" w:rsidRPr="00321E9F" w:rsidRDefault="00B97D38" w:rsidP="00E967FA">
      <w:pPr>
        <w:pStyle w:val="ListParagraph"/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1E9F">
        <w:rPr>
          <w:rFonts w:asciiTheme="minorHAnsi" w:hAnsiTheme="minorHAnsi" w:cstheme="minorHAnsi"/>
          <w:b/>
          <w:bCs/>
          <w:sz w:val="22"/>
          <w:szCs w:val="22"/>
        </w:rPr>
        <w:t>Integrated care</w:t>
      </w:r>
      <w:r w:rsidRPr="00321E9F">
        <w:rPr>
          <w:rFonts w:asciiTheme="minorHAnsi" w:hAnsiTheme="minorHAnsi" w:cstheme="minorHAnsi"/>
          <w:sz w:val="22"/>
          <w:szCs w:val="22"/>
        </w:rPr>
        <w:t xml:space="preserve"> – including a web and mobile app to support assessment, management,  timely escalation and reporting around deteriorating residents in care homes</w:t>
      </w:r>
      <w:r w:rsidR="00321E9F" w:rsidRPr="00321E9F">
        <w:rPr>
          <w:rFonts w:asciiTheme="minorHAnsi" w:hAnsiTheme="minorHAnsi" w:cstheme="minorHAnsi"/>
          <w:sz w:val="22"/>
          <w:szCs w:val="22"/>
        </w:rPr>
        <w:t xml:space="preserve">; </w:t>
      </w:r>
      <w:r w:rsidRPr="00321E9F">
        <w:rPr>
          <w:rFonts w:asciiTheme="minorHAnsi" w:hAnsiTheme="minorHAnsi" w:cstheme="minorHAnsi"/>
          <w:sz w:val="22"/>
          <w:szCs w:val="22"/>
        </w:rPr>
        <w:t>access to adult support and protection guidance.</w:t>
      </w:r>
    </w:p>
    <w:p w14:paraId="4E301382" w14:textId="1FCA4A57" w:rsidR="00B97D38" w:rsidRPr="00321E9F" w:rsidRDefault="00B97D38" w:rsidP="00E967FA">
      <w:pPr>
        <w:pStyle w:val="ListParagraph"/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1E9F">
        <w:rPr>
          <w:rFonts w:asciiTheme="minorHAnsi" w:hAnsiTheme="minorHAnsi" w:cstheme="minorHAnsi"/>
          <w:b/>
          <w:bCs/>
          <w:sz w:val="22"/>
          <w:szCs w:val="22"/>
        </w:rPr>
        <w:t>Improving routine care</w:t>
      </w:r>
      <w:r w:rsidR="00C33844">
        <w:rPr>
          <w:rFonts w:asciiTheme="minorHAnsi" w:hAnsiTheme="minorHAnsi" w:cstheme="minorHAnsi"/>
          <w:sz w:val="22"/>
          <w:szCs w:val="22"/>
        </w:rPr>
        <w:t xml:space="preserve"> – </w:t>
      </w:r>
      <w:r w:rsidRPr="00321E9F">
        <w:rPr>
          <w:rFonts w:asciiTheme="minorHAnsi" w:hAnsiTheme="minorHAnsi" w:cstheme="minorHAnsi"/>
          <w:sz w:val="22"/>
          <w:szCs w:val="22"/>
        </w:rPr>
        <w:t xml:space="preserve">Translation of national and local guidelines and pathways from 11 territorial boards, 4 national Boards and </w:t>
      </w:r>
      <w:r w:rsidR="00321E9F" w:rsidRPr="00321E9F">
        <w:rPr>
          <w:rFonts w:asciiTheme="minorHAnsi" w:hAnsiTheme="minorHAnsi" w:cstheme="minorHAnsi"/>
          <w:sz w:val="22"/>
          <w:szCs w:val="22"/>
        </w:rPr>
        <w:t xml:space="preserve">8 </w:t>
      </w:r>
      <w:r w:rsidRPr="00321E9F">
        <w:rPr>
          <w:rFonts w:asciiTheme="minorHAnsi" w:hAnsiTheme="minorHAnsi" w:cstheme="minorHAnsi"/>
          <w:sz w:val="22"/>
          <w:szCs w:val="22"/>
        </w:rPr>
        <w:t>national programmes in</w:t>
      </w:r>
      <w:r w:rsidR="00321E9F" w:rsidRPr="00321E9F">
        <w:rPr>
          <w:rFonts w:asciiTheme="minorHAnsi" w:hAnsiTheme="minorHAnsi" w:cstheme="minorHAnsi"/>
          <w:sz w:val="22"/>
          <w:szCs w:val="22"/>
        </w:rPr>
        <w:t>to</w:t>
      </w:r>
      <w:r w:rsidRPr="00321E9F">
        <w:rPr>
          <w:rFonts w:asciiTheme="minorHAnsi" w:hAnsiTheme="minorHAnsi" w:cstheme="minorHAnsi"/>
          <w:sz w:val="22"/>
          <w:szCs w:val="22"/>
        </w:rPr>
        <w:t xml:space="preserve"> decision-ready format and delivering them </w:t>
      </w:r>
      <w:r w:rsidR="00C33844" w:rsidRPr="00321E9F">
        <w:rPr>
          <w:rFonts w:asciiTheme="minorHAnsi" w:hAnsiTheme="minorHAnsi" w:cstheme="minorHAnsi"/>
          <w:sz w:val="22"/>
          <w:szCs w:val="22"/>
        </w:rPr>
        <w:t>into the</w:t>
      </w:r>
      <w:r w:rsidRPr="00321E9F">
        <w:rPr>
          <w:rFonts w:asciiTheme="minorHAnsi" w:hAnsiTheme="minorHAnsi" w:cstheme="minorHAnsi"/>
          <w:sz w:val="22"/>
          <w:szCs w:val="22"/>
        </w:rPr>
        <w:t xml:space="preserve"> hands of practitioners through web and mobile apps.</w:t>
      </w:r>
    </w:p>
    <w:p w14:paraId="7E892E7E" w14:textId="307A6E4F" w:rsidR="00B97D38" w:rsidRPr="00321E9F" w:rsidRDefault="00B97D38" w:rsidP="00E967FA">
      <w:pPr>
        <w:pStyle w:val="ListParagraph"/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321E9F">
        <w:rPr>
          <w:rFonts w:asciiTheme="minorHAnsi" w:hAnsiTheme="minorHAnsi" w:cstheme="minorHAnsi"/>
          <w:b/>
          <w:bCs/>
          <w:sz w:val="22"/>
          <w:szCs w:val="22"/>
        </w:rPr>
        <w:t xml:space="preserve">Supported self-management and shared decision-making. </w:t>
      </w:r>
      <w:r w:rsidRPr="00321E9F">
        <w:rPr>
          <w:rFonts w:asciiTheme="minorHAnsi" w:hAnsiTheme="minorHAnsi" w:cstheme="minorHAnsi"/>
          <w:sz w:val="22"/>
          <w:szCs w:val="22"/>
        </w:rPr>
        <w:t>Tools delivered so far include</w:t>
      </w:r>
      <w:r w:rsidRPr="00321E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21E9F">
        <w:rPr>
          <w:rFonts w:asciiTheme="minorHAnsi" w:hAnsiTheme="minorHAnsi" w:cstheme="minorHAnsi"/>
          <w:sz w:val="22"/>
          <w:szCs w:val="22"/>
        </w:rPr>
        <w:t xml:space="preserve">shared decision-making web and mobile toolkits for long COVID – led by SIGN; dementia wellbeing and medicines management (led by SG Effective Prescribing).  </w:t>
      </w:r>
    </w:p>
    <w:p w14:paraId="345F679F" w14:textId="77777777" w:rsidR="00321E9F" w:rsidRDefault="00321E9F" w:rsidP="003972DA">
      <w:pPr>
        <w:spacing w:after="0" w:line="240" w:lineRule="auto"/>
        <w:rPr>
          <w:rFonts w:cstheme="minorHAnsi"/>
        </w:rPr>
      </w:pPr>
    </w:p>
    <w:p w14:paraId="03143CD0" w14:textId="05BB118B" w:rsidR="00B97784" w:rsidRDefault="003972DA" w:rsidP="003972DA">
      <w:pPr>
        <w:spacing w:after="0" w:line="240" w:lineRule="auto"/>
        <w:rPr>
          <w:rFonts w:cstheme="minorHAnsi"/>
          <w:b/>
          <w:bCs/>
        </w:rPr>
      </w:pPr>
      <w:r w:rsidRPr="00B97784">
        <w:rPr>
          <w:rFonts w:cstheme="minorHAnsi"/>
        </w:rPr>
        <w:t>A survey in January 2023 of 36 Right Decision Service Leads across 12 organisations showed that the Right Decision Service</w:t>
      </w:r>
      <w:r w:rsidR="00321E9F">
        <w:rPr>
          <w:rFonts w:cstheme="minorHAnsi"/>
        </w:rPr>
        <w:t xml:space="preserve"> is enabling safer, better quality care and better use of available resource:</w:t>
      </w:r>
    </w:p>
    <w:p w14:paraId="1C7849D6" w14:textId="77777777" w:rsidR="00321E9F" w:rsidRPr="00321E9F" w:rsidRDefault="00321E9F" w:rsidP="00321E9F">
      <w:pPr>
        <w:ind w:left="360"/>
        <w:contextualSpacing/>
        <w:rPr>
          <w:rFonts w:cstheme="minorHAnsi"/>
          <w:color w:val="212529"/>
          <w:shd w:val="clear" w:color="auto" w:fill="FFFFFF"/>
        </w:rPr>
      </w:pPr>
    </w:p>
    <w:p w14:paraId="73001380" w14:textId="52C244E2" w:rsidR="003972DA" w:rsidRPr="003972DA" w:rsidRDefault="003972DA" w:rsidP="003972DA">
      <w:pPr>
        <w:numPr>
          <w:ilvl w:val="0"/>
          <w:numId w:val="7"/>
        </w:numPr>
        <w:contextualSpacing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b/>
          <w:bCs/>
          <w:color w:val="212529"/>
          <w:shd w:val="clear" w:color="auto" w:fill="FFFFFF"/>
        </w:rPr>
        <w:t>79%</w:t>
      </w:r>
      <w:r w:rsidRPr="003972DA">
        <w:rPr>
          <w:rFonts w:cstheme="minorHAnsi"/>
          <w:color w:val="212529"/>
          <w:shd w:val="clear" w:color="auto" w:fill="FFFFFF"/>
        </w:rPr>
        <w:t xml:space="preserve"> of RDS </w:t>
      </w:r>
      <w:r w:rsidR="00321E9F">
        <w:rPr>
          <w:rFonts w:cstheme="minorHAnsi"/>
          <w:color w:val="212529"/>
          <w:shd w:val="clear" w:color="auto" w:fill="FFFFFF"/>
        </w:rPr>
        <w:t xml:space="preserve">Leads </w:t>
      </w:r>
      <w:r w:rsidRPr="003972DA">
        <w:rPr>
          <w:rFonts w:cstheme="minorHAnsi"/>
          <w:color w:val="212529"/>
          <w:shd w:val="clear" w:color="auto" w:fill="FFFFFF"/>
        </w:rPr>
        <w:t xml:space="preserve">indicate that RDS tools are already improving patient safety in their organisations. </w:t>
      </w:r>
    </w:p>
    <w:p w14:paraId="64F91327" w14:textId="77777777" w:rsidR="003972DA" w:rsidRPr="003972DA" w:rsidRDefault="003972DA" w:rsidP="00B97784">
      <w:pPr>
        <w:numPr>
          <w:ilvl w:val="0"/>
          <w:numId w:val="7"/>
        </w:numPr>
        <w:spacing w:after="0"/>
        <w:contextualSpacing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b/>
          <w:bCs/>
          <w:color w:val="212529"/>
          <w:shd w:val="clear" w:color="auto" w:fill="FFFFFF"/>
        </w:rPr>
        <w:t>74%</w:t>
      </w:r>
      <w:r w:rsidRPr="003972DA">
        <w:rPr>
          <w:rFonts w:cstheme="minorHAnsi"/>
          <w:color w:val="212529"/>
          <w:shd w:val="clear" w:color="auto" w:fill="FFFFFF"/>
        </w:rPr>
        <w:t xml:space="preserve"> advise that RDS tools have improved quality of patient care, and 65% indicate that they are driving up consistent evidence-based practice. </w:t>
      </w:r>
    </w:p>
    <w:p w14:paraId="4260B089" w14:textId="0D181EBA" w:rsidR="003972DA" w:rsidRPr="003972DA" w:rsidRDefault="003972DA" w:rsidP="00B97784">
      <w:pPr>
        <w:spacing w:after="0"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b/>
          <w:bCs/>
          <w:color w:val="212529"/>
          <w:shd w:val="clear" w:color="auto" w:fill="FFFFFF"/>
        </w:rPr>
        <w:t>Examples</w:t>
      </w:r>
      <w:r w:rsidRPr="003972DA">
        <w:rPr>
          <w:rFonts w:cstheme="minorHAnsi"/>
          <w:color w:val="212529"/>
          <w:shd w:val="clear" w:color="auto" w:fill="FFFFFF"/>
        </w:rPr>
        <w:t xml:space="preserve"> include:</w:t>
      </w:r>
    </w:p>
    <w:p w14:paraId="12614ACB" w14:textId="7A40F7F2" w:rsidR="003972DA" w:rsidRPr="003972DA" w:rsidRDefault="003972DA" w:rsidP="00B97784">
      <w:pPr>
        <w:numPr>
          <w:ilvl w:val="0"/>
          <w:numId w:val="11"/>
        </w:numPr>
        <w:spacing w:after="0"/>
        <w:contextualSpacing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color w:val="212529"/>
          <w:shd w:val="clear" w:color="auto" w:fill="FFFFFF"/>
        </w:rPr>
        <w:t>The proportio</w:t>
      </w:r>
      <w:r w:rsidR="00C33844">
        <w:rPr>
          <w:rFonts w:cstheme="minorHAnsi"/>
          <w:color w:val="212529"/>
          <w:shd w:val="clear" w:color="auto" w:fill="FFFFFF"/>
        </w:rPr>
        <w:t xml:space="preserve">n of junior doctors in NHS GGC </w:t>
      </w:r>
      <w:r w:rsidRPr="003972DA">
        <w:rPr>
          <w:rFonts w:cstheme="minorHAnsi"/>
          <w:color w:val="212529"/>
          <w:shd w:val="clear" w:color="auto" w:fill="FFFFFF"/>
        </w:rPr>
        <w:t>able to find the correct paediatric guideline for a series of clinical scenarios rose from 22% pre-RDS to 84% post-RDS.</w:t>
      </w:r>
    </w:p>
    <w:p w14:paraId="397F0B1D" w14:textId="77777777" w:rsidR="003972DA" w:rsidRPr="003972DA" w:rsidRDefault="003972DA" w:rsidP="00B97784">
      <w:pPr>
        <w:numPr>
          <w:ilvl w:val="0"/>
          <w:numId w:val="11"/>
        </w:numPr>
        <w:spacing w:after="0"/>
        <w:contextualSpacing/>
        <w:rPr>
          <w:rFonts w:cstheme="minorHAnsi"/>
          <w:i/>
          <w:iCs/>
          <w:color w:val="212529"/>
          <w:shd w:val="clear" w:color="auto" w:fill="FFFFFF"/>
        </w:rPr>
      </w:pPr>
      <w:r w:rsidRPr="003972DA">
        <w:rPr>
          <w:rFonts w:cstheme="minorHAnsi"/>
          <w:i/>
          <w:iCs/>
          <w:color w:val="212529"/>
          <w:shd w:val="clear" w:color="auto" w:fill="FFFFFF"/>
        </w:rPr>
        <w:t>“Utilised frequently during anaesthetic emergencies, during covid pandemic, management of complex patients in Operating Room.”</w:t>
      </w:r>
    </w:p>
    <w:p w14:paraId="59DA284E" w14:textId="77777777" w:rsidR="003972DA" w:rsidRPr="003972DA" w:rsidRDefault="003972DA" w:rsidP="00B97784">
      <w:pPr>
        <w:numPr>
          <w:ilvl w:val="0"/>
          <w:numId w:val="11"/>
        </w:numPr>
        <w:spacing w:after="0"/>
        <w:contextualSpacing/>
        <w:rPr>
          <w:rFonts w:eastAsia="Times New Roman" w:cstheme="minorHAnsi"/>
          <w:i/>
          <w:iCs/>
          <w:color w:val="000000"/>
          <w:lang w:eastAsia="en-GB"/>
        </w:rPr>
      </w:pPr>
      <w:r w:rsidRPr="003972DA">
        <w:rPr>
          <w:rFonts w:eastAsia="Times New Roman" w:cstheme="minorHAnsi"/>
          <w:i/>
          <w:iCs/>
          <w:color w:val="000000"/>
          <w:lang w:eastAsia="en-GB"/>
        </w:rPr>
        <w:t>“Targeting high risk individuals to make prescribing safer.”</w:t>
      </w:r>
    </w:p>
    <w:p w14:paraId="0E654B01" w14:textId="77777777" w:rsidR="00B97784" w:rsidRDefault="00B97784" w:rsidP="003972DA">
      <w:pPr>
        <w:spacing w:after="0" w:line="240" w:lineRule="auto"/>
        <w:rPr>
          <w:rFonts w:cstheme="minorHAnsi"/>
          <w:b/>
          <w:bCs/>
        </w:rPr>
      </w:pPr>
    </w:p>
    <w:p w14:paraId="3AC22F43" w14:textId="3B9FBD68" w:rsidR="003972DA" w:rsidRPr="00B97784" w:rsidRDefault="003972DA" w:rsidP="003972D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B97784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>77%</w:t>
      </w:r>
      <w:r w:rsidRPr="00B9778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confirmed that RDS tools are enabling better use of available resource.</w:t>
      </w:r>
    </w:p>
    <w:p w14:paraId="469BE4FD" w14:textId="70712BB7" w:rsidR="003972DA" w:rsidRPr="003972DA" w:rsidRDefault="003972DA" w:rsidP="003972DA">
      <w:pPr>
        <w:numPr>
          <w:ilvl w:val="0"/>
          <w:numId w:val="6"/>
        </w:numPr>
        <w:contextualSpacing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b/>
          <w:bCs/>
          <w:color w:val="212529"/>
          <w:shd w:val="clear" w:color="auto" w:fill="FFFFFF"/>
        </w:rPr>
        <w:t>64%</w:t>
      </w:r>
      <w:r w:rsidRPr="003972DA">
        <w:rPr>
          <w:rFonts w:cstheme="minorHAnsi"/>
          <w:color w:val="212529"/>
          <w:shd w:val="clear" w:color="auto" w:fill="FFFFFF"/>
        </w:rPr>
        <w:t xml:space="preserve"> report</w:t>
      </w:r>
      <w:r w:rsidR="00321E9F">
        <w:rPr>
          <w:rFonts w:cstheme="minorHAnsi"/>
          <w:color w:val="212529"/>
          <w:shd w:val="clear" w:color="auto" w:fill="FFFFFF"/>
        </w:rPr>
        <w:t>ed</w:t>
      </w:r>
      <w:r w:rsidRPr="003972DA">
        <w:rPr>
          <w:rFonts w:cstheme="minorHAnsi"/>
          <w:color w:val="212529"/>
          <w:shd w:val="clear" w:color="auto" w:fill="FFFFFF"/>
        </w:rPr>
        <w:t xml:space="preserve"> that RDS tools are saving staff time</w:t>
      </w:r>
    </w:p>
    <w:p w14:paraId="65ACA8C2" w14:textId="40A6EFCF" w:rsidR="003972DA" w:rsidRPr="003972DA" w:rsidRDefault="003972DA" w:rsidP="003972DA">
      <w:pPr>
        <w:numPr>
          <w:ilvl w:val="0"/>
          <w:numId w:val="6"/>
        </w:numPr>
        <w:contextualSpacing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b/>
          <w:bCs/>
          <w:color w:val="212529"/>
          <w:shd w:val="clear" w:color="auto" w:fill="FFFFFF"/>
        </w:rPr>
        <w:t>62%</w:t>
      </w:r>
      <w:r w:rsidRPr="003972DA">
        <w:rPr>
          <w:rFonts w:cstheme="minorHAnsi"/>
          <w:color w:val="212529"/>
          <w:shd w:val="clear" w:color="auto" w:fill="FFFFFF"/>
        </w:rPr>
        <w:t xml:space="preserve"> state</w:t>
      </w:r>
      <w:r w:rsidR="00321E9F">
        <w:rPr>
          <w:rFonts w:cstheme="minorHAnsi"/>
          <w:color w:val="212529"/>
          <w:shd w:val="clear" w:color="auto" w:fill="FFFFFF"/>
        </w:rPr>
        <w:t>d</w:t>
      </w:r>
      <w:r w:rsidRPr="003972DA">
        <w:rPr>
          <w:rFonts w:cstheme="minorHAnsi"/>
          <w:color w:val="212529"/>
          <w:shd w:val="clear" w:color="auto" w:fill="FFFFFF"/>
        </w:rPr>
        <w:t xml:space="preserve"> that RDS tools have reduced costs.</w:t>
      </w:r>
    </w:p>
    <w:p w14:paraId="2BD2F511" w14:textId="1E61E9FD" w:rsidR="003972DA" w:rsidRPr="003972DA" w:rsidRDefault="003972DA" w:rsidP="00B97784">
      <w:pPr>
        <w:spacing w:after="0"/>
        <w:rPr>
          <w:rFonts w:cstheme="minorHAnsi"/>
          <w:color w:val="212529"/>
          <w:shd w:val="clear" w:color="auto" w:fill="FFFFFF"/>
        </w:rPr>
      </w:pPr>
      <w:r w:rsidRPr="003972DA">
        <w:rPr>
          <w:rFonts w:cstheme="minorHAnsi"/>
          <w:b/>
          <w:bCs/>
          <w:color w:val="212529"/>
          <w:shd w:val="clear" w:color="auto" w:fill="FFFFFF"/>
        </w:rPr>
        <w:t xml:space="preserve">Examples </w:t>
      </w:r>
      <w:r w:rsidRPr="003972DA">
        <w:rPr>
          <w:rFonts w:cstheme="minorHAnsi"/>
          <w:color w:val="212529"/>
          <w:shd w:val="clear" w:color="auto" w:fill="FFFFFF"/>
        </w:rPr>
        <w:t xml:space="preserve">include: </w:t>
      </w:r>
    </w:p>
    <w:p w14:paraId="571057CE" w14:textId="77777777" w:rsidR="003972DA" w:rsidRPr="003972DA" w:rsidRDefault="003972DA" w:rsidP="00B97784">
      <w:pPr>
        <w:numPr>
          <w:ilvl w:val="0"/>
          <w:numId w:val="10"/>
        </w:numPr>
        <w:spacing w:after="0"/>
        <w:contextualSpacing/>
        <w:rPr>
          <w:rFonts w:cstheme="minorHAnsi"/>
          <w:i/>
          <w:iCs/>
          <w:color w:val="212529"/>
          <w:shd w:val="clear" w:color="auto" w:fill="FFFFFF"/>
        </w:rPr>
      </w:pPr>
      <w:r w:rsidRPr="003972DA">
        <w:rPr>
          <w:rFonts w:cstheme="minorHAnsi"/>
          <w:i/>
          <w:iCs/>
          <w:color w:val="212529"/>
          <w:shd w:val="clear" w:color="auto" w:fill="FFFFFF"/>
        </w:rPr>
        <w:t>“Streamlining access to guidance and evidence-based decision support so that it is instantly accessible when and where clinicians need it.”</w:t>
      </w:r>
    </w:p>
    <w:p w14:paraId="29055061" w14:textId="77777777" w:rsidR="003972DA" w:rsidRDefault="003972DA" w:rsidP="00B97784">
      <w:pPr>
        <w:numPr>
          <w:ilvl w:val="0"/>
          <w:numId w:val="9"/>
        </w:numPr>
        <w:spacing w:after="0"/>
        <w:contextualSpacing/>
        <w:rPr>
          <w:rFonts w:cstheme="minorHAnsi"/>
          <w:i/>
          <w:iCs/>
          <w:color w:val="212529"/>
          <w:shd w:val="clear" w:color="auto" w:fill="FFFFFF"/>
        </w:rPr>
      </w:pPr>
      <w:r w:rsidRPr="003972DA">
        <w:rPr>
          <w:rFonts w:cstheme="minorHAnsi"/>
          <w:i/>
          <w:iCs/>
          <w:color w:val="212529"/>
          <w:shd w:val="clear" w:color="auto" w:fill="FFFFFF"/>
        </w:rPr>
        <w:t>“The flow navigation decision support tool has helped identify increasing numbers of patients who can be managed via a non-admitted pathway.”</w:t>
      </w:r>
    </w:p>
    <w:p w14:paraId="16971702" w14:textId="77777777" w:rsidR="00B97784" w:rsidRDefault="00B97784" w:rsidP="003972DA">
      <w:pPr>
        <w:contextualSpacing/>
        <w:rPr>
          <w:rFonts w:cstheme="minorHAnsi"/>
          <w:i/>
          <w:iCs/>
          <w:color w:val="212529"/>
          <w:shd w:val="clear" w:color="auto" w:fill="FFFFFF"/>
        </w:rPr>
      </w:pPr>
    </w:p>
    <w:p w14:paraId="27A0EF55" w14:textId="404E520B" w:rsidR="007E3CF1" w:rsidRDefault="007E3CF1" w:rsidP="00F75E36">
      <w:pPr>
        <w:pStyle w:val="Heading2"/>
        <w:numPr>
          <w:ilvl w:val="0"/>
          <w:numId w:val="18"/>
        </w:numPr>
        <w:rPr>
          <w:shd w:val="clear" w:color="auto" w:fill="FFFFFF"/>
        </w:rPr>
      </w:pPr>
      <w:r>
        <w:rPr>
          <w:shd w:val="clear" w:color="auto" w:fill="FFFFFF"/>
        </w:rPr>
        <w:t>Roles within the new Right Decision Service team</w:t>
      </w:r>
    </w:p>
    <w:p w14:paraId="5BBCD845" w14:textId="780D70CC" w:rsidR="007E3CF1" w:rsidRDefault="00F75E36" w:rsidP="007E3CF1">
      <w:r>
        <w:t>Healthcare Improvement Scotland is recruiting to a new Right Decision Service team, sitting within the Research and Information Service. The team structure is shown below:</w:t>
      </w:r>
    </w:p>
    <w:p w14:paraId="36AD33C7" w14:textId="28CD9C27" w:rsidR="00F75E36" w:rsidRDefault="00852AFE" w:rsidP="00852AFE">
      <w:pPr>
        <w:ind w:left="2160"/>
      </w:pPr>
      <w:r>
        <w:rPr>
          <w:noProof/>
          <w:lang w:eastAsia="en-GB"/>
        </w:rPr>
        <w:drawing>
          <wp:inline distT="0" distB="0" distL="0" distR="0" wp14:anchorId="74BD418F" wp14:editId="2F167AAE">
            <wp:extent cx="3352800" cy="185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D44AE" w14:textId="56D9452F" w:rsidR="00F75E36" w:rsidRDefault="00852AFE" w:rsidP="007E3CF1">
      <w:r>
        <w:t xml:space="preserve">All team members will </w:t>
      </w:r>
      <w:r w:rsidR="001A12CA">
        <w:t>work together to apply</w:t>
      </w:r>
      <w:r>
        <w:t xml:space="preserve"> information and knowledge skills to:</w:t>
      </w:r>
    </w:p>
    <w:p w14:paraId="120B815F" w14:textId="53BA47C9" w:rsidR="00852AFE" w:rsidRPr="001A12CA" w:rsidRDefault="00852AFE" w:rsidP="001A12C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A12CA">
        <w:rPr>
          <w:rFonts w:asciiTheme="minorHAnsi" w:hAnsiTheme="minorHAnsi" w:cstheme="minorHAnsi"/>
          <w:sz w:val="22"/>
          <w:szCs w:val="22"/>
        </w:rPr>
        <w:t>Design and build content and functionality within Right Decision S</w:t>
      </w:r>
      <w:r w:rsidR="001A12CA" w:rsidRPr="001A12CA">
        <w:rPr>
          <w:rFonts w:asciiTheme="minorHAnsi" w:hAnsiTheme="minorHAnsi" w:cstheme="minorHAnsi"/>
          <w:sz w:val="22"/>
          <w:szCs w:val="22"/>
        </w:rPr>
        <w:t>ervice tools. This includes web and mobile apps and tools that integrate with</w:t>
      </w:r>
      <w:r w:rsidR="00CB340A">
        <w:rPr>
          <w:rFonts w:asciiTheme="minorHAnsi" w:hAnsiTheme="minorHAnsi" w:cstheme="minorHAnsi"/>
          <w:sz w:val="22"/>
          <w:szCs w:val="22"/>
        </w:rPr>
        <w:t xml:space="preserve"> electronic care record systems. The Right Decision Service platfor</w:t>
      </w:r>
      <w:r w:rsidR="00251330">
        <w:rPr>
          <w:rFonts w:asciiTheme="minorHAnsi" w:hAnsiTheme="minorHAnsi" w:cstheme="minorHAnsi"/>
          <w:sz w:val="22"/>
          <w:szCs w:val="22"/>
        </w:rPr>
        <w:t xml:space="preserve">m provides a </w:t>
      </w:r>
      <w:r w:rsidR="00D36CE9">
        <w:rPr>
          <w:rFonts w:asciiTheme="minorHAnsi" w:hAnsiTheme="minorHAnsi" w:cstheme="minorHAnsi"/>
          <w:sz w:val="22"/>
          <w:szCs w:val="22"/>
        </w:rPr>
        <w:t xml:space="preserve">content management and </w:t>
      </w:r>
      <w:r w:rsidR="00251330">
        <w:rPr>
          <w:rFonts w:asciiTheme="minorHAnsi" w:hAnsiTheme="minorHAnsi" w:cstheme="minorHAnsi"/>
          <w:sz w:val="22"/>
          <w:szCs w:val="22"/>
        </w:rPr>
        <w:t xml:space="preserve">knowledge translation toolset </w:t>
      </w:r>
      <w:r w:rsidR="00D36CE9">
        <w:rPr>
          <w:rFonts w:asciiTheme="minorHAnsi" w:hAnsiTheme="minorHAnsi" w:cstheme="minorHAnsi"/>
          <w:sz w:val="22"/>
          <w:szCs w:val="22"/>
        </w:rPr>
        <w:t>which enable</w:t>
      </w:r>
      <w:r w:rsidR="00CB340A">
        <w:rPr>
          <w:rFonts w:asciiTheme="minorHAnsi" w:hAnsiTheme="minorHAnsi" w:cstheme="minorHAnsi"/>
          <w:sz w:val="22"/>
          <w:szCs w:val="22"/>
        </w:rPr>
        <w:t xml:space="preserve"> delivery of decision support tools without requiring coding or programming skills.</w:t>
      </w:r>
    </w:p>
    <w:p w14:paraId="34F2E80C" w14:textId="3DD689F8" w:rsidR="001A12CA" w:rsidRPr="001A12CA" w:rsidRDefault="001A12CA" w:rsidP="001A12C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A12CA">
        <w:rPr>
          <w:rFonts w:asciiTheme="minorHAnsi" w:hAnsiTheme="minorHAnsi" w:cstheme="minorHAnsi"/>
          <w:sz w:val="22"/>
          <w:szCs w:val="22"/>
        </w:rPr>
        <w:t xml:space="preserve">Source and summarise evidence to underpin delivery of decision support tools. </w:t>
      </w:r>
    </w:p>
    <w:p w14:paraId="6A77BC45" w14:textId="51004FB7" w:rsidR="001A12CA" w:rsidRPr="001A12CA" w:rsidRDefault="001A12CA" w:rsidP="001A12C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A12CA">
        <w:rPr>
          <w:rFonts w:asciiTheme="minorHAnsi" w:hAnsiTheme="minorHAnsi" w:cstheme="minorHAnsi"/>
          <w:sz w:val="22"/>
          <w:szCs w:val="22"/>
        </w:rPr>
        <w:t>Provide training and support to health and social care staff and other information and knowledge managers in using and creating Right Decision Service tools.</w:t>
      </w:r>
    </w:p>
    <w:p w14:paraId="13FF1280" w14:textId="4FBB91C9" w:rsidR="001A12CA" w:rsidRPr="001A12CA" w:rsidRDefault="001A12CA" w:rsidP="001A12C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A12CA">
        <w:rPr>
          <w:rFonts w:asciiTheme="minorHAnsi" w:hAnsiTheme="minorHAnsi" w:cstheme="minorHAnsi"/>
          <w:sz w:val="22"/>
          <w:szCs w:val="22"/>
        </w:rPr>
        <w:t>Define and implement processes and procedures for safe and robust operational management of the Right Decision Service.</w:t>
      </w:r>
    </w:p>
    <w:p w14:paraId="7BE63F77" w14:textId="77777777" w:rsidR="007E3CF1" w:rsidRDefault="007E3CF1" w:rsidP="00D22E90">
      <w:pPr>
        <w:pStyle w:val="Heading2"/>
        <w:rPr>
          <w:shd w:val="clear" w:color="auto" w:fill="FFFFFF"/>
        </w:rPr>
      </w:pPr>
    </w:p>
    <w:p w14:paraId="54EC0468" w14:textId="3D59D6C5" w:rsidR="003972DA" w:rsidRDefault="00CA0C7E" w:rsidP="001A12CA">
      <w:pPr>
        <w:pStyle w:val="Heading2"/>
        <w:numPr>
          <w:ilvl w:val="0"/>
          <w:numId w:val="18"/>
        </w:numPr>
        <w:rPr>
          <w:shd w:val="clear" w:color="auto" w:fill="FFFFFF"/>
        </w:rPr>
      </w:pPr>
      <w:r>
        <w:rPr>
          <w:shd w:val="clear" w:color="auto" w:fill="FFFFFF"/>
        </w:rPr>
        <w:t xml:space="preserve">Supporting resources </w:t>
      </w:r>
    </w:p>
    <w:p w14:paraId="43496A68" w14:textId="77777777" w:rsidR="00D22E90" w:rsidRPr="00D22E90" w:rsidRDefault="00D22E90" w:rsidP="00D22E90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22E90">
        <w:rPr>
          <w:rFonts w:asciiTheme="minorHAnsi" w:hAnsiTheme="minorHAnsi" w:cstheme="minorHAnsi"/>
          <w:sz w:val="22"/>
          <w:szCs w:val="22"/>
        </w:rPr>
        <w:t xml:space="preserve">Videoclip: About the </w:t>
      </w:r>
      <w:hyperlink r:id="rId12" w:history="1">
        <w:r w:rsidRPr="00D22E90">
          <w:rPr>
            <w:rStyle w:val="Hyperlink"/>
            <w:rFonts w:asciiTheme="minorHAnsi" w:hAnsiTheme="minorHAnsi" w:cstheme="minorHAnsi"/>
            <w:sz w:val="22"/>
            <w:szCs w:val="22"/>
          </w:rPr>
          <w:t>Right Decision Service</w:t>
        </w:r>
      </w:hyperlink>
      <w:r w:rsidRPr="00D22E90">
        <w:rPr>
          <w:rFonts w:asciiTheme="minorHAnsi" w:hAnsiTheme="minorHAnsi" w:cstheme="minorHAnsi"/>
          <w:sz w:val="22"/>
          <w:szCs w:val="22"/>
        </w:rPr>
        <w:t>.</w:t>
      </w:r>
    </w:p>
    <w:p w14:paraId="7283EE78" w14:textId="71CFCC62" w:rsidR="00D22E90" w:rsidRPr="00D22E90" w:rsidRDefault="00AD448F" w:rsidP="00D22E90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D22E90" w:rsidRPr="00D22E90">
          <w:rPr>
            <w:rStyle w:val="Hyperlink"/>
            <w:rFonts w:asciiTheme="minorHAnsi" w:hAnsiTheme="minorHAnsi" w:cstheme="minorHAnsi"/>
            <w:sz w:val="22"/>
            <w:szCs w:val="22"/>
          </w:rPr>
          <w:t>Videoclip</w:t>
        </w:r>
      </w:hyperlink>
      <w:r w:rsidR="00D22E90" w:rsidRPr="00D22E90">
        <w:rPr>
          <w:rFonts w:asciiTheme="minorHAnsi" w:hAnsiTheme="minorHAnsi" w:cstheme="minorHAnsi"/>
          <w:sz w:val="22"/>
          <w:szCs w:val="22"/>
        </w:rPr>
        <w:t xml:space="preserve"> – lead clinician </w:t>
      </w:r>
      <w:r w:rsidR="00CA0C7E">
        <w:rPr>
          <w:rFonts w:asciiTheme="minorHAnsi" w:hAnsiTheme="minorHAnsi" w:cstheme="minorHAnsi"/>
          <w:sz w:val="22"/>
          <w:szCs w:val="22"/>
        </w:rPr>
        <w:t xml:space="preserve">presenting the </w:t>
      </w:r>
      <w:r w:rsidR="00D22E90" w:rsidRPr="00D22E90">
        <w:rPr>
          <w:rFonts w:asciiTheme="minorHAnsi" w:hAnsiTheme="minorHAnsi" w:cstheme="minorHAnsi"/>
          <w:sz w:val="22"/>
          <w:szCs w:val="22"/>
        </w:rPr>
        <w:t>benefits of high risk prescribing decision support integrated with primary care electronic health record systems.</w:t>
      </w:r>
    </w:p>
    <w:p w14:paraId="6E04A561" w14:textId="77777777" w:rsidR="00D22E90" w:rsidRPr="003972DA" w:rsidRDefault="00D22E90" w:rsidP="003972DA">
      <w:pPr>
        <w:contextualSpacing/>
        <w:rPr>
          <w:rFonts w:cstheme="minorHAnsi"/>
          <w:color w:val="212529"/>
          <w:shd w:val="clear" w:color="auto" w:fill="FFFFFF"/>
        </w:rPr>
      </w:pPr>
    </w:p>
    <w:sectPr w:rsidR="00D22E90" w:rsidRPr="003972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2BA12" w14:textId="77777777" w:rsidR="00C5467C" w:rsidRDefault="00C5467C" w:rsidP="00323B16">
      <w:pPr>
        <w:spacing w:after="0" w:line="240" w:lineRule="auto"/>
      </w:pPr>
      <w:r>
        <w:separator/>
      </w:r>
    </w:p>
  </w:endnote>
  <w:endnote w:type="continuationSeparator" w:id="0">
    <w:p w14:paraId="228E528F" w14:textId="77777777" w:rsidR="00C5467C" w:rsidRDefault="00C5467C" w:rsidP="00323B16">
      <w:pPr>
        <w:spacing w:after="0" w:line="240" w:lineRule="auto"/>
      </w:pPr>
      <w:r>
        <w:continuationSeparator/>
      </w:r>
    </w:p>
  </w:endnote>
  <w:endnote w:id="1">
    <w:p w14:paraId="797B6D21" w14:textId="34CCEE5E" w:rsidR="00B97784" w:rsidRDefault="00B97784" w:rsidP="00B97784">
      <w:pPr>
        <w:pStyle w:val="FootnoteText"/>
      </w:pPr>
      <w:r>
        <w:rPr>
          <w:rStyle w:val="EndnoteReference"/>
        </w:rPr>
        <w:endnoteRef/>
      </w:r>
      <w:r>
        <w:t xml:space="preserve"> </w:t>
      </w:r>
      <w:r>
        <w:rPr>
          <w:rStyle w:val="FootnoteReference"/>
        </w:rPr>
        <w:endnoteRef/>
      </w:r>
      <w:r>
        <w:t xml:space="preserve">Website: </w:t>
      </w:r>
      <w:hyperlink r:id="rId1" w:history="1">
        <w:r w:rsidRPr="004D7702">
          <w:rPr>
            <w:rStyle w:val="Hyperlink"/>
          </w:rPr>
          <w:t>https://rightdecisions.scot.nhs.uk</w:t>
        </w:r>
      </w:hyperlink>
    </w:p>
    <w:p w14:paraId="0F167697" w14:textId="77777777" w:rsidR="00B97784" w:rsidRDefault="00B97784" w:rsidP="00B97784">
      <w:pPr>
        <w:pStyle w:val="FootnoteText"/>
      </w:pPr>
      <w:r>
        <w:t xml:space="preserve">Mobile app download:  </w:t>
      </w:r>
      <w:hyperlink r:id="rId2" w:history="1">
        <w:r w:rsidRPr="00323B16">
          <w:rPr>
            <w:rStyle w:val="Hyperlink"/>
          </w:rPr>
          <w:t>Apple</w:t>
        </w:r>
      </w:hyperlink>
      <w:r w:rsidRPr="00323B16">
        <w:t xml:space="preserve">  </w:t>
      </w:r>
      <w:hyperlink r:id="rId3" w:history="1">
        <w:r w:rsidRPr="00323B16">
          <w:rPr>
            <w:rStyle w:val="Hyperlink"/>
            <w:rFonts w:cstheme="minorHAnsi"/>
          </w:rPr>
          <w:t>Android</w:t>
        </w:r>
      </w:hyperlink>
      <w:r w:rsidRPr="002B1B6D">
        <w:rPr>
          <w:rFonts w:cstheme="minorHAnsi"/>
          <w:color w:val="000000"/>
          <w:sz w:val="18"/>
          <w:szCs w:val="18"/>
        </w:rPr>
        <w:t> </w:t>
      </w:r>
    </w:p>
    <w:p w14:paraId="4B249CF7" w14:textId="2C36436A" w:rsidR="00B97784" w:rsidRDefault="00B97784" w:rsidP="00B9778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462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FDF2E" w14:textId="550DDBE9" w:rsidR="00B97784" w:rsidRDefault="00B977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4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30B1B7" w14:textId="77777777" w:rsidR="00B97784" w:rsidRDefault="00B97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1095C" w14:textId="77777777" w:rsidR="00C5467C" w:rsidRDefault="00C5467C" w:rsidP="00323B16">
      <w:pPr>
        <w:spacing w:after="0" w:line="240" w:lineRule="auto"/>
      </w:pPr>
      <w:r>
        <w:separator/>
      </w:r>
    </w:p>
  </w:footnote>
  <w:footnote w:type="continuationSeparator" w:id="0">
    <w:p w14:paraId="00D2E5D4" w14:textId="77777777" w:rsidR="00C5467C" w:rsidRDefault="00C5467C" w:rsidP="0032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A3D0" w14:textId="572C94B2" w:rsidR="00323B16" w:rsidRDefault="00323B16">
    <w:pPr>
      <w:pStyle w:val="Header"/>
    </w:pPr>
    <w:r>
      <w:rPr>
        <w:noProof/>
        <w:lang w:eastAsia="en-GB"/>
      </w:rPr>
      <w:drawing>
        <wp:inline distT="0" distB="0" distL="0" distR="0" wp14:anchorId="64515A50" wp14:editId="20028D40">
          <wp:extent cx="3028801" cy="408940"/>
          <wp:effectExtent l="0" t="0" r="635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608" cy="409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4BCFD8" w14:textId="77777777" w:rsidR="00323B16" w:rsidRDefault="00323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FFB"/>
    <w:multiLevelType w:val="hybridMultilevel"/>
    <w:tmpl w:val="24A2D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1184E"/>
    <w:multiLevelType w:val="hybridMultilevel"/>
    <w:tmpl w:val="24B4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172E"/>
    <w:multiLevelType w:val="hybridMultilevel"/>
    <w:tmpl w:val="D1E8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69AD"/>
    <w:multiLevelType w:val="hybridMultilevel"/>
    <w:tmpl w:val="C6ECF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E15A0"/>
    <w:multiLevelType w:val="hybridMultilevel"/>
    <w:tmpl w:val="97E83772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27A1C"/>
    <w:multiLevelType w:val="hybridMultilevel"/>
    <w:tmpl w:val="97169E42"/>
    <w:lvl w:ilvl="0" w:tplc="D6BC7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05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C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42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61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2F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27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25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AB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835B71"/>
    <w:multiLevelType w:val="hybridMultilevel"/>
    <w:tmpl w:val="64DA97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66428"/>
    <w:multiLevelType w:val="hybridMultilevel"/>
    <w:tmpl w:val="39F6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75AA"/>
    <w:multiLevelType w:val="hybridMultilevel"/>
    <w:tmpl w:val="89608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976BB"/>
    <w:multiLevelType w:val="hybridMultilevel"/>
    <w:tmpl w:val="53FA2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238C2"/>
    <w:multiLevelType w:val="hybridMultilevel"/>
    <w:tmpl w:val="6F4E9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846092"/>
    <w:multiLevelType w:val="hybridMultilevel"/>
    <w:tmpl w:val="FEE4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B16C1"/>
    <w:multiLevelType w:val="hybridMultilevel"/>
    <w:tmpl w:val="0B98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7175B"/>
    <w:multiLevelType w:val="hybridMultilevel"/>
    <w:tmpl w:val="51F4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2815"/>
    <w:multiLevelType w:val="hybridMultilevel"/>
    <w:tmpl w:val="AEA6A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646B0"/>
    <w:multiLevelType w:val="hybridMultilevel"/>
    <w:tmpl w:val="3E9E9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57DCA"/>
    <w:multiLevelType w:val="hybridMultilevel"/>
    <w:tmpl w:val="E76EF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C15A4D"/>
    <w:multiLevelType w:val="hybridMultilevel"/>
    <w:tmpl w:val="F394F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7"/>
  </w:num>
  <w:num w:numId="9">
    <w:abstractNumId w:val="11"/>
  </w:num>
  <w:num w:numId="10">
    <w:abstractNumId w:val="15"/>
  </w:num>
  <w:num w:numId="11">
    <w:abstractNumId w:val="12"/>
  </w:num>
  <w:num w:numId="12">
    <w:abstractNumId w:val="16"/>
  </w:num>
  <w:num w:numId="13">
    <w:abstractNumId w:val="7"/>
  </w:num>
  <w:num w:numId="14">
    <w:abstractNumId w:val="14"/>
  </w:num>
  <w:num w:numId="15">
    <w:abstractNumId w:val="2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16"/>
    <w:rsid w:val="001A12CA"/>
    <w:rsid w:val="001D7F2F"/>
    <w:rsid w:val="00251330"/>
    <w:rsid w:val="002A4886"/>
    <w:rsid w:val="002C7574"/>
    <w:rsid w:val="00321E9F"/>
    <w:rsid w:val="00323B16"/>
    <w:rsid w:val="003972DA"/>
    <w:rsid w:val="00424F4E"/>
    <w:rsid w:val="00460038"/>
    <w:rsid w:val="005E121C"/>
    <w:rsid w:val="006140B4"/>
    <w:rsid w:val="00772369"/>
    <w:rsid w:val="007E3CF1"/>
    <w:rsid w:val="00814BD8"/>
    <w:rsid w:val="00852AFE"/>
    <w:rsid w:val="00942F68"/>
    <w:rsid w:val="00966E40"/>
    <w:rsid w:val="00AD448F"/>
    <w:rsid w:val="00B27EE6"/>
    <w:rsid w:val="00B97784"/>
    <w:rsid w:val="00B97D38"/>
    <w:rsid w:val="00C10B72"/>
    <w:rsid w:val="00C33844"/>
    <w:rsid w:val="00C5467C"/>
    <w:rsid w:val="00C74F08"/>
    <w:rsid w:val="00CA0C7E"/>
    <w:rsid w:val="00CB340A"/>
    <w:rsid w:val="00D22E90"/>
    <w:rsid w:val="00D36CE9"/>
    <w:rsid w:val="00E03DAA"/>
    <w:rsid w:val="00E967FA"/>
    <w:rsid w:val="00EC2963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2819"/>
  <w15:chartTrackingRefBased/>
  <w15:docId w15:val="{C6731736-BDF1-4E47-B507-3F1BEF53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E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B16"/>
  </w:style>
  <w:style w:type="paragraph" w:styleId="Footer">
    <w:name w:val="footer"/>
    <w:basedOn w:val="Normal"/>
    <w:link w:val="FooterChar"/>
    <w:uiPriority w:val="99"/>
    <w:unhideWhenUsed/>
    <w:rsid w:val="00323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16"/>
  </w:style>
  <w:style w:type="character" w:styleId="Hyperlink">
    <w:name w:val="Hyperlink"/>
    <w:basedOn w:val="DefaultParagraphFont"/>
    <w:uiPriority w:val="99"/>
    <w:unhideWhenUsed/>
    <w:rsid w:val="00323B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B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B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B1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3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7F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72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7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77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7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778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21E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2E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50705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918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276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518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hyperlink" Target="#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#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6" Type="http://schemas.openxmlformats.org/officeDocument/2006/relationships/footnotes" Target="footnotes.xml" /><Relationship Id="rId11" Type="http://schemas.openxmlformats.org/officeDocument/2006/relationships/image" Target="media/image1.pn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hyperlink" Target="#" TargetMode="External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<Relationship Id="rId14" Type="http://schemas.openxmlformats.org/officeDocument/2006/relationships/header" Target="header1.xml" /> </Relationships>
</file>

<file path=word/_rels/endnotes.xml.rels>&#65279;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 /><Relationship Id="rId2" Type="http://schemas.openxmlformats.org/officeDocument/2006/relationships/hyperlink" Target="#" TargetMode="External" /><Relationship Id="rId1" Type="http://schemas.openxmlformats.org/officeDocument/2006/relationships/hyperlink" Target="#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B4EABF0-1E0F-40E2-938C-F1D43BD8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1135</Words>
  <Characters>6476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Wales</dc:creator>
  <cp:keywords/>
  <dc:description/>
  <cp:lastModifiedBy>Antonina Lekawska (NHS Healthcare Improveent Scotland)</cp:lastModifiedBy>
  <cp:revision>2</cp:revision>
  <dcterms:created xsi:type="dcterms:W3CDTF">2023-06-02T09:58:00Z</dcterms:created>
  <dcterms:modified xsi:type="dcterms:W3CDTF">2023-06-02T09:58:00Z</dcterms:modified>
</cp:coreProperties>
</file>