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DA0C6" w14:textId="77777777" w:rsidR="00550403" w:rsidRDefault="00175CA5">
      <w:r>
        <w:rPr>
          <w:noProof/>
          <w:lang w:eastAsia="en-GB"/>
        </w:rPr>
        <w:drawing>
          <wp:anchor distT="0" distB="0" distL="114300" distR="114300" simplePos="0" relativeHeight="251657728" behindDoc="1" locked="0" layoutInCell="1" allowOverlap="1" wp14:anchorId="3BD9E4F9" wp14:editId="7712CD16">
            <wp:simplePos x="0" y="0"/>
            <wp:positionH relativeFrom="margin">
              <wp:posOffset>-895350</wp:posOffset>
            </wp:positionH>
            <wp:positionV relativeFrom="margin">
              <wp:posOffset>-91440</wp:posOffset>
            </wp:positionV>
            <wp:extent cx="7509510" cy="10614660"/>
            <wp:effectExtent l="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8"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14:paraId="6FCDD07A" w14:textId="77777777" w:rsidR="002D1897" w:rsidRDefault="002D1897"/>
    <w:p w14:paraId="45C3BE99" w14:textId="77777777" w:rsidR="002D1897" w:rsidRDefault="002D1897"/>
    <w:p w14:paraId="0173CB2D" w14:textId="77777777" w:rsidR="002D1897" w:rsidRDefault="002D1897"/>
    <w:p w14:paraId="52463DC9" w14:textId="77777777" w:rsidR="002D1897" w:rsidRDefault="002D1897"/>
    <w:p w14:paraId="6BBD29F3" w14:textId="77777777" w:rsidR="002D1897" w:rsidRDefault="002D1897"/>
    <w:p w14:paraId="52FF4417" w14:textId="77777777" w:rsidR="002D1897" w:rsidRDefault="002D1897">
      <w:r>
        <w:br w:type="page"/>
      </w:r>
    </w:p>
    <w:p w14:paraId="25E40717" w14:textId="77777777" w:rsidR="00AA7827" w:rsidRDefault="00175CA5">
      <w:r>
        <w:rPr>
          <w:noProof/>
          <w:lang w:eastAsia="en-GB"/>
        </w:rPr>
        <w:lastRenderedPageBreak/>
        <w:drawing>
          <wp:inline distT="0" distB="0" distL="0" distR="0" wp14:anchorId="66996AE9" wp14:editId="26A75E9D">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14:paraId="37F0C3F0" w14:textId="77777777" w:rsidR="00AA7827" w:rsidRDefault="00AA7827"/>
    <w:p w14:paraId="2A99AC13" w14:textId="77777777" w:rsidR="00175CA5" w:rsidRDefault="00175CA5"/>
    <w:p w14:paraId="646B1F3B" w14:textId="6268B707" w:rsidR="00003D12" w:rsidRDefault="00114F3C" w:rsidP="00003D12">
      <w:pPr>
        <w:pStyle w:val="NoSpacing"/>
      </w:pPr>
      <w:r>
        <w:t xml:space="preserve">This post </w:t>
      </w:r>
      <w:r w:rsidR="00486CD5">
        <w:t xml:space="preserve">will complement the current team of </w:t>
      </w:r>
      <w:r w:rsidR="005605D9">
        <w:t>8</w:t>
      </w:r>
      <w:r w:rsidR="009336F0">
        <w:t xml:space="preserve"> </w:t>
      </w:r>
      <w:r w:rsidR="00FE1BBF" w:rsidRPr="006F3231">
        <w:t>Consultant</w:t>
      </w:r>
      <w:r w:rsidR="00003D12" w:rsidRPr="006F3231">
        <w:t xml:space="preserve"> Haematologist</w:t>
      </w:r>
      <w:r>
        <w:t>s</w:t>
      </w:r>
      <w:r w:rsidR="000E2618">
        <w:t xml:space="preserve">, 1 speciality registrar, </w:t>
      </w:r>
      <w:r w:rsidR="007B2257">
        <w:t>4 clinical fellows and 3 FY1/FY2 doctors</w:t>
      </w:r>
      <w:r w:rsidR="00003D12" w:rsidRPr="006F3231">
        <w:t xml:space="preserve"> to support the delivery and development of clinical and laboratory Haematology services within Ayrshire. </w:t>
      </w:r>
    </w:p>
    <w:p w14:paraId="33B2EBB3" w14:textId="77777777" w:rsidR="00B02B23" w:rsidRDefault="00B02B23" w:rsidP="00003D12">
      <w:pPr>
        <w:pStyle w:val="NoSpacing"/>
      </w:pPr>
    </w:p>
    <w:p w14:paraId="5BC6671C" w14:textId="20151023" w:rsidR="00B02B23" w:rsidRPr="006F3231" w:rsidRDefault="00B02B23" w:rsidP="00B02B23">
      <w:pPr>
        <w:pStyle w:val="NoSpacing"/>
      </w:pPr>
      <w:r w:rsidRPr="006F3231">
        <w:t xml:space="preserve">The post is </w:t>
      </w:r>
      <w:r>
        <w:t xml:space="preserve">based </w:t>
      </w:r>
      <w:r w:rsidRPr="0089363A">
        <w:t xml:space="preserve">within </w:t>
      </w:r>
      <w:r w:rsidRPr="0089363A">
        <w:rPr>
          <w:color w:val="000000" w:themeColor="text1"/>
        </w:rPr>
        <w:t xml:space="preserve">both Surgical and </w:t>
      </w:r>
      <w:r w:rsidRPr="0089363A">
        <w:t xml:space="preserve">Diagnostic </w:t>
      </w:r>
      <w:r w:rsidRPr="002D4315">
        <w:t xml:space="preserve">Services </w:t>
      </w:r>
      <w:r w:rsidRPr="006F3231">
        <w:t xml:space="preserve">of NHS Ayrshire </w:t>
      </w:r>
      <w:r>
        <w:t>&amp;</w:t>
      </w:r>
      <w:r w:rsidRPr="006F3231">
        <w:t xml:space="preserve"> Ar</w:t>
      </w:r>
      <w:r>
        <w:t xml:space="preserve">ran at University Hospital Crosshouse (UHC), </w:t>
      </w:r>
      <w:r w:rsidRPr="006F3231">
        <w:t xml:space="preserve">near Kilmarnock. The successful candidate will work with </w:t>
      </w:r>
      <w:r>
        <w:t>consultant colleagues</w:t>
      </w:r>
      <w:r w:rsidRPr="006F3231">
        <w:t xml:space="preserve"> </w:t>
      </w:r>
      <w:r>
        <w:t xml:space="preserve">between UHC, and </w:t>
      </w:r>
      <w:r w:rsidR="00327D86">
        <w:t xml:space="preserve">the Kyle Unit at </w:t>
      </w:r>
      <w:r>
        <w:t>University Hospital Ayr (UHA)</w:t>
      </w:r>
      <w:r w:rsidRPr="006F3231">
        <w:t xml:space="preserve">. The Haematology Department provides an area-wide </w:t>
      </w:r>
      <w:r>
        <w:t xml:space="preserve">clinical and </w:t>
      </w:r>
      <w:r w:rsidRPr="006F3231">
        <w:t xml:space="preserve">laboratory service to all </w:t>
      </w:r>
      <w:r>
        <w:t>inpatient areas</w:t>
      </w:r>
      <w:r w:rsidRPr="006F3231">
        <w:t>, primary care and community services.</w:t>
      </w:r>
      <w:r>
        <w:t xml:space="preserve"> The population of Ayrshire is approximately 388,000.</w:t>
      </w:r>
    </w:p>
    <w:p w14:paraId="656E8459" w14:textId="77777777" w:rsidR="00B02B23" w:rsidRPr="006F3231" w:rsidRDefault="00B02B23" w:rsidP="00B02B23">
      <w:pPr>
        <w:pStyle w:val="NoSpacing"/>
      </w:pPr>
    </w:p>
    <w:p w14:paraId="5BD828BE" w14:textId="75057793" w:rsidR="00B02B23" w:rsidRPr="006F3231" w:rsidRDefault="00E254ED" w:rsidP="00B02B23">
      <w:pPr>
        <w:pStyle w:val="NoSpacing"/>
      </w:pPr>
      <w:r w:rsidRPr="00E254ED">
        <w:t>This is a new post created due to increasing demands on the Haematology service. The post will involve all aspects of clinical haematology with the majority of the work load malignant. Career development will be supported. There is potential to develop a sub-speciality interest to complement those alread</w:t>
      </w:r>
      <w:r>
        <w:t>y offered within the department</w:t>
      </w:r>
      <w:r w:rsidR="00B02B23" w:rsidRPr="006F3231">
        <w:t xml:space="preserve">. </w:t>
      </w:r>
    </w:p>
    <w:p w14:paraId="0E9FD5C5" w14:textId="77777777" w:rsidR="00B02B23" w:rsidRPr="006F3231" w:rsidRDefault="00B02B23" w:rsidP="00B02B23">
      <w:pPr>
        <w:rPr>
          <w:b/>
        </w:rPr>
      </w:pPr>
    </w:p>
    <w:p w14:paraId="24D8AAC1" w14:textId="77777777" w:rsidR="00B02B23" w:rsidRPr="006F3231" w:rsidRDefault="00B02B23" w:rsidP="00B02B23">
      <w:pPr>
        <w:rPr>
          <w:b/>
        </w:rPr>
      </w:pPr>
      <w:r w:rsidRPr="006F3231">
        <w:rPr>
          <w:b/>
        </w:rPr>
        <w:t>Area Laboratory Service</w:t>
      </w:r>
    </w:p>
    <w:p w14:paraId="271B6CD5" w14:textId="77777777" w:rsidR="00B02B23" w:rsidRPr="006F3231" w:rsidRDefault="00B02B23" w:rsidP="00B02B23">
      <w:pPr>
        <w:rPr>
          <w:b/>
        </w:rPr>
      </w:pPr>
    </w:p>
    <w:p w14:paraId="622ADC20" w14:textId="77777777" w:rsidR="00B02B23" w:rsidRDefault="00B02B23" w:rsidP="00B02B23">
      <w:r w:rsidRPr="006F3231">
        <w:t xml:space="preserve">The Area Laboratory Service is based within </w:t>
      </w:r>
      <w:r>
        <w:t xml:space="preserve">UHC </w:t>
      </w:r>
      <w:r w:rsidRPr="006F3231">
        <w:t xml:space="preserve">in a large integrated laboratory complex providing Pathology, Biochemistry, and Microbiology services in addition to Haematology and Blood Transfusion. </w:t>
      </w:r>
    </w:p>
    <w:p w14:paraId="214BB309" w14:textId="77777777" w:rsidR="00B02B23" w:rsidRDefault="00B02B23" w:rsidP="00B02B23"/>
    <w:p w14:paraId="702019F6" w14:textId="5E9F9737" w:rsidR="00B02B23" w:rsidRPr="006F3231" w:rsidRDefault="00B02B23" w:rsidP="00B02B23">
      <w:r w:rsidRPr="006F3231">
        <w:t xml:space="preserve">The Haematology and Blood Transfusion Departments provide a wide range of services including routine haematology, coagulation studies, bioassays, blood </w:t>
      </w:r>
      <w:bookmarkStart w:id="0" w:name="_GoBack"/>
      <w:bookmarkEnd w:id="0"/>
      <w:r w:rsidRPr="006F3231">
        <w:t xml:space="preserve">transfusion and blood products. </w:t>
      </w:r>
      <w:r>
        <w:t xml:space="preserve">UHC </w:t>
      </w:r>
      <w:r w:rsidRPr="006F3231">
        <w:t xml:space="preserve">is a large District General Hospital of over </w:t>
      </w:r>
      <w:r>
        <w:t>400</w:t>
      </w:r>
      <w:r w:rsidRPr="006F3231">
        <w:t xml:space="preserve"> beds with a comprehensive range of medical and surgical services inc</w:t>
      </w:r>
      <w:r>
        <w:t>luding an area renal service, IC</w:t>
      </w:r>
      <w:r w:rsidRPr="006F3231">
        <w:t xml:space="preserve">U, and </w:t>
      </w:r>
      <w:r>
        <w:t>modern Emergency Department with an adjacent 46 bed Combined Assessment Unit.</w:t>
      </w:r>
      <w:r w:rsidRPr="006F3231">
        <w:t xml:space="preserve"> There is also an on-site maternity</w:t>
      </w:r>
      <w:r>
        <w:t xml:space="preserve"> and neonatal </w:t>
      </w:r>
      <w:r w:rsidRPr="006F3231">
        <w:t xml:space="preserve">unit at </w:t>
      </w:r>
      <w:r>
        <w:t>UHC with approximately 50</w:t>
      </w:r>
      <w:r w:rsidRPr="006F3231">
        <w:t>00 deliveries per year. Paediatric services</w:t>
      </w:r>
      <w:r>
        <w:t xml:space="preserve">, </w:t>
      </w:r>
      <w:r w:rsidR="00327D86">
        <w:t xml:space="preserve">head and neck, </w:t>
      </w:r>
      <w:r>
        <w:t>acute stroke and orthopaedic trauma</w:t>
      </w:r>
      <w:r w:rsidRPr="006F3231">
        <w:t xml:space="preserve"> are centralised on the </w:t>
      </w:r>
      <w:r>
        <w:t>University Hospital Crosshouse site.</w:t>
      </w:r>
    </w:p>
    <w:p w14:paraId="1A90ED54" w14:textId="77777777" w:rsidR="00B02B23" w:rsidRPr="006F3231" w:rsidRDefault="00B02B23" w:rsidP="00B02B23"/>
    <w:p w14:paraId="44ED65D7" w14:textId="3C5549D3" w:rsidR="00B02B23" w:rsidRPr="006F3231" w:rsidRDefault="00B02B23" w:rsidP="00B02B23">
      <w:r w:rsidRPr="006F3231">
        <w:t xml:space="preserve">There is also a busy </w:t>
      </w:r>
      <w:r>
        <w:t xml:space="preserve">satellite </w:t>
      </w:r>
      <w:r w:rsidRPr="006F3231">
        <w:t xml:space="preserve">laboratory at </w:t>
      </w:r>
      <w:r>
        <w:t xml:space="preserve">UHA </w:t>
      </w:r>
      <w:r w:rsidRPr="006F3231">
        <w:t>(1</w:t>
      </w:r>
      <w:r>
        <w:t>8</w:t>
      </w:r>
      <w:r w:rsidR="00327D86">
        <w:t xml:space="preserve"> </w:t>
      </w:r>
      <w:r w:rsidRPr="006F3231">
        <w:t xml:space="preserve">miles </w:t>
      </w:r>
      <w:r>
        <w:t>south</w:t>
      </w:r>
      <w:r w:rsidRPr="006F3231">
        <w:t xml:space="preserve">) providing general haematology, coagulation, and blood transfusion services. </w:t>
      </w:r>
      <w:r>
        <w:t xml:space="preserve">UHA </w:t>
      </w:r>
      <w:r w:rsidRPr="006F3231">
        <w:t xml:space="preserve">is also a busy DGH with over </w:t>
      </w:r>
      <w:r>
        <w:t>250</w:t>
      </w:r>
      <w:r w:rsidRPr="006F3231">
        <w:t xml:space="preserve"> beds</w:t>
      </w:r>
      <w:r>
        <w:t>,</w:t>
      </w:r>
      <w:r w:rsidRPr="006F3231">
        <w:t xml:space="preserve"> again providing comprehensive m</w:t>
      </w:r>
      <w:r>
        <w:t xml:space="preserve">edical and surgical services, </w:t>
      </w:r>
      <w:r w:rsidRPr="006F3231">
        <w:t xml:space="preserve">and </w:t>
      </w:r>
      <w:r>
        <w:t>a modern Emergency Department with an adjacent Combined Assessment Unit</w:t>
      </w:r>
      <w:r w:rsidR="00327D86">
        <w:t>.</w:t>
      </w:r>
    </w:p>
    <w:p w14:paraId="7208EF04" w14:textId="77777777" w:rsidR="00B02B23" w:rsidRDefault="00B02B23" w:rsidP="00003D12">
      <w:pPr>
        <w:pStyle w:val="NoSpacing"/>
      </w:pPr>
    </w:p>
    <w:p w14:paraId="0812A3E7" w14:textId="77777777" w:rsidR="00B02B23" w:rsidRPr="006B6B74" w:rsidRDefault="00B02B23" w:rsidP="00B02B23">
      <w:pPr>
        <w:pStyle w:val="NoSpacing"/>
      </w:pPr>
      <w:r w:rsidRPr="00E87F39">
        <w:t xml:space="preserve">The laboratory participates in all relevant NEQAS schemes and is fully accredited by </w:t>
      </w:r>
      <w:r>
        <w:t>UKAS</w:t>
      </w:r>
      <w:r w:rsidRPr="00E87F39">
        <w:t xml:space="preserve">. The department is also accredited for higher medical training in haematology and generally has one or two specialist registrars on </w:t>
      </w:r>
      <w:r>
        <w:t>rotation</w:t>
      </w:r>
      <w:r w:rsidRPr="00E87F39">
        <w:t xml:space="preserve"> </w:t>
      </w:r>
      <w:r w:rsidRPr="006B6B74">
        <w:t xml:space="preserve">from the West of Scotland </w:t>
      </w:r>
      <w:r>
        <w:t>D</w:t>
      </w:r>
      <w:r w:rsidRPr="006B6B74">
        <w:t xml:space="preserve">eanery. Close links are maintained with tertiary referral centres and specialist departments through links with the </w:t>
      </w:r>
      <w:r>
        <w:t xml:space="preserve">NHS Greater </w:t>
      </w:r>
      <w:r w:rsidRPr="006B6B74">
        <w:t xml:space="preserve">Glasgow teaching hospitals and the Regional Blood Transfusion Service. </w:t>
      </w:r>
    </w:p>
    <w:p w14:paraId="4E269BA6" w14:textId="77777777" w:rsidR="00B02B23" w:rsidRPr="006B6B74" w:rsidRDefault="00B02B23" w:rsidP="00B02B23">
      <w:pPr>
        <w:pStyle w:val="NoSpacing"/>
      </w:pPr>
    </w:p>
    <w:p w14:paraId="11E8EEF3" w14:textId="77777777" w:rsidR="00003D12" w:rsidRDefault="00003D12" w:rsidP="00003D12"/>
    <w:p w14:paraId="3023904F" w14:textId="77777777" w:rsidR="003B1EF4" w:rsidRDefault="00175CA5">
      <w:r>
        <w:rPr>
          <w:noProof/>
          <w:lang w:eastAsia="en-GB"/>
        </w:rPr>
        <w:drawing>
          <wp:inline distT="0" distB="0" distL="0" distR="0" wp14:anchorId="7DE56B13" wp14:editId="6549A106">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14:paraId="5F63EABC" w14:textId="77777777" w:rsidR="003B1EF4" w:rsidRDefault="003B1EF4"/>
    <w:p w14:paraId="17310571" w14:textId="77777777" w:rsidR="00175CA5" w:rsidRDefault="00175CA5"/>
    <w:p w14:paraId="524CAC83" w14:textId="77777777" w:rsidR="00654F01" w:rsidRPr="006B6B74" w:rsidRDefault="00654F01" w:rsidP="00654F01">
      <w:pPr>
        <w:pStyle w:val="NoSpacing"/>
        <w:rPr>
          <w:b/>
        </w:rPr>
      </w:pPr>
      <w:r>
        <w:rPr>
          <w:b/>
        </w:rPr>
        <w:t>C</w:t>
      </w:r>
      <w:r w:rsidRPr="006B6B74">
        <w:rPr>
          <w:b/>
        </w:rPr>
        <w:t>linical Haematology Services</w:t>
      </w:r>
    </w:p>
    <w:p w14:paraId="62830AE9" w14:textId="77777777" w:rsidR="00654F01" w:rsidRPr="006B6B74" w:rsidRDefault="00654F01" w:rsidP="00654F01">
      <w:pPr>
        <w:pStyle w:val="NoSpacing"/>
        <w:rPr>
          <w:b/>
        </w:rPr>
      </w:pPr>
    </w:p>
    <w:p w14:paraId="58466702" w14:textId="6FD21404" w:rsidR="00654F01" w:rsidRPr="006B6B74" w:rsidRDefault="00654F01" w:rsidP="00654F01">
      <w:pPr>
        <w:pStyle w:val="NoSpacing"/>
      </w:pPr>
      <w:r w:rsidRPr="006B6B74">
        <w:t xml:space="preserve">Clinical Haematology services are provided both at </w:t>
      </w:r>
      <w:r>
        <w:t>UHC</w:t>
      </w:r>
      <w:r w:rsidRPr="006B6B74">
        <w:t xml:space="preserve"> for </w:t>
      </w:r>
      <w:r>
        <w:t>N</w:t>
      </w:r>
      <w:r w:rsidRPr="006B6B74">
        <w:t xml:space="preserve">orth and </w:t>
      </w:r>
      <w:r>
        <w:t>E</w:t>
      </w:r>
      <w:r w:rsidRPr="006B6B74">
        <w:t xml:space="preserve">ast Ayrshire and at </w:t>
      </w:r>
      <w:r>
        <w:t>U</w:t>
      </w:r>
      <w:r w:rsidR="00E922D5">
        <w:t xml:space="preserve">niversity </w:t>
      </w:r>
      <w:r>
        <w:t>H</w:t>
      </w:r>
      <w:r w:rsidR="00E922D5">
        <w:t xml:space="preserve">ospital </w:t>
      </w:r>
      <w:r>
        <w:t>A</w:t>
      </w:r>
      <w:r w:rsidR="00E922D5">
        <w:t>yr (UHA)</w:t>
      </w:r>
      <w:r w:rsidRPr="006B6B74">
        <w:t xml:space="preserve"> for </w:t>
      </w:r>
      <w:r>
        <w:t xml:space="preserve">South Ayrshire. </w:t>
      </w:r>
      <w:r w:rsidRPr="006B6B74">
        <w:t>It is expected that the appointee would work principally from</w:t>
      </w:r>
      <w:r>
        <w:t xml:space="preserve"> the</w:t>
      </w:r>
      <w:r w:rsidRPr="006B6B74">
        <w:t xml:space="preserve"> </w:t>
      </w:r>
      <w:r>
        <w:t>UHC</w:t>
      </w:r>
      <w:r w:rsidRPr="006B6B74">
        <w:t xml:space="preserve"> </w:t>
      </w:r>
      <w:r>
        <w:t xml:space="preserve">site </w:t>
      </w:r>
      <w:r w:rsidRPr="006B6B74">
        <w:t xml:space="preserve">although some duties </w:t>
      </w:r>
      <w:r>
        <w:t xml:space="preserve">(outpatient/day-case) </w:t>
      </w:r>
      <w:r w:rsidR="00BF7E9C">
        <w:t>may</w:t>
      </w:r>
      <w:r w:rsidRPr="006B6B74">
        <w:t xml:space="preserve"> be covered on both sites.</w:t>
      </w:r>
    </w:p>
    <w:p w14:paraId="1FEA93D1" w14:textId="77777777" w:rsidR="00654F01" w:rsidRPr="006B6B74" w:rsidRDefault="00654F01" w:rsidP="00654F01">
      <w:pPr>
        <w:pStyle w:val="NoSpacing"/>
      </w:pPr>
    </w:p>
    <w:p w14:paraId="05357579" w14:textId="77777777" w:rsidR="00654F01" w:rsidRPr="006B6B74" w:rsidRDefault="00654F01" w:rsidP="00654F01">
      <w:pPr>
        <w:pStyle w:val="NoSpacing"/>
      </w:pPr>
      <w:r w:rsidRPr="006B6B74">
        <w:t xml:space="preserve">Inpatient beds are available </w:t>
      </w:r>
      <w:r>
        <w:t>on the UHC site</w:t>
      </w:r>
      <w:r w:rsidRPr="006B6B74">
        <w:t xml:space="preserve">, </w:t>
      </w:r>
      <w:r>
        <w:t>and both hospitals run</w:t>
      </w:r>
      <w:r w:rsidRPr="006B6B74">
        <w:t xml:space="preserve"> general Haematology, and Haemato-Oncology outpatient clinics. </w:t>
      </w:r>
      <w:r>
        <w:t>UHC</w:t>
      </w:r>
      <w:r w:rsidRPr="006B6B74">
        <w:t xml:space="preserve"> has a combined Oncology / Haematology </w:t>
      </w:r>
      <w:r>
        <w:t xml:space="preserve">inpatient </w:t>
      </w:r>
      <w:r w:rsidRPr="006B6B74">
        <w:t>unit with 1</w:t>
      </w:r>
      <w:r>
        <w:t xml:space="preserve">4 </w:t>
      </w:r>
      <w:r w:rsidRPr="006B6B74">
        <w:t xml:space="preserve">beds and a </w:t>
      </w:r>
      <w:r>
        <w:t>busy day-</w:t>
      </w:r>
      <w:r w:rsidRPr="006B6B74">
        <w:t xml:space="preserve">case unit. </w:t>
      </w:r>
      <w:r>
        <w:t>New</w:t>
      </w:r>
      <w:r w:rsidRPr="006B6B74">
        <w:t xml:space="preserve"> </w:t>
      </w:r>
      <w:r>
        <w:t xml:space="preserve">off-site </w:t>
      </w:r>
      <w:r w:rsidRPr="006B6B74">
        <w:t xml:space="preserve">facilities are also provided at </w:t>
      </w:r>
      <w:r>
        <w:t>UHA for low risk/supportive treatments, this was developed as a response to the Covid19 pandemic to ensure safe patient flow outwith the acute site</w:t>
      </w:r>
      <w:r w:rsidRPr="006B6B74">
        <w:t>. Both sites are large busy District General Hospitals providing a comprehensive range of services requiring frequent clinical haematological input.</w:t>
      </w:r>
    </w:p>
    <w:p w14:paraId="6EE84D70" w14:textId="77777777" w:rsidR="00654F01" w:rsidRPr="006B6B74" w:rsidRDefault="00654F01" w:rsidP="00654F01"/>
    <w:p w14:paraId="68DFBA4B" w14:textId="15798C56" w:rsidR="00654F01" w:rsidRPr="00E87F39" w:rsidRDefault="00654F01" w:rsidP="00654F01">
      <w:r w:rsidRPr="006B6B74">
        <w:t xml:space="preserve">Clinical Haematology services are organised from within the </w:t>
      </w:r>
      <w:r>
        <w:t>Surgical D</w:t>
      </w:r>
      <w:r w:rsidRPr="006B6B74">
        <w:t xml:space="preserve">irectorate </w:t>
      </w:r>
      <w:r>
        <w:t xml:space="preserve">from </w:t>
      </w:r>
      <w:r w:rsidRPr="006B6B74">
        <w:t xml:space="preserve">where the budget is </w:t>
      </w:r>
      <w:r>
        <w:t>managed</w:t>
      </w:r>
      <w:r w:rsidRPr="006B6B74">
        <w:t xml:space="preserve">. </w:t>
      </w:r>
      <w:r>
        <w:t>Junior</w:t>
      </w:r>
      <w:r w:rsidRPr="006B6B74">
        <w:t xml:space="preserve"> medical support </w:t>
      </w:r>
      <w:r>
        <w:t>consists an FY1 and FY2 at UHC who take part in Acut</w:t>
      </w:r>
      <w:r w:rsidR="00BF7E9C">
        <w:t>e Medical receiving, a Clinical Teaching Fellow</w:t>
      </w:r>
      <w:r>
        <w:t xml:space="preserve"> and Clinical Development Fellow </w:t>
      </w:r>
      <w:r w:rsidR="00BF7E9C">
        <w:t xml:space="preserve">in Haematology </w:t>
      </w:r>
      <w:r>
        <w:t>on each site.</w:t>
      </w:r>
      <w:r w:rsidRPr="006B6B74">
        <w:t xml:space="preserve"> </w:t>
      </w:r>
      <w:r>
        <w:t>A</w:t>
      </w:r>
      <w:r w:rsidRPr="003F76AB">
        <w:rPr>
          <w:color w:val="FF0000"/>
        </w:rPr>
        <w:t xml:space="preserve"> </w:t>
      </w:r>
      <w:r w:rsidRPr="00E87F39">
        <w:t xml:space="preserve">Specialist Doctor in oncology is also available at </w:t>
      </w:r>
      <w:r>
        <w:t>UHC</w:t>
      </w:r>
      <w:r w:rsidRPr="00E87F39">
        <w:t>.  NHS Greater Glasgow provide consultant oncologist support for breast, urology, lung and colorectal/upper GI tumour types. Anticoagulant clinics are held daily at various locations delivered by anticoagulant pharmacists and nurses, utili</w:t>
      </w:r>
      <w:r w:rsidR="007B5F0D">
        <w:t>sing the Dawn management system</w:t>
      </w:r>
    </w:p>
    <w:p w14:paraId="29ACD611" w14:textId="77777777" w:rsidR="00654F01" w:rsidRDefault="00654F01" w:rsidP="00654F01"/>
    <w:p w14:paraId="69FACB2D" w14:textId="77777777" w:rsidR="00654F01" w:rsidRDefault="00654F01" w:rsidP="00654F01">
      <w:r w:rsidRPr="00E87F39">
        <w:t xml:space="preserve">Weekly Multidisciplinary Team Meetings (MDT) include all consultant Haematologists </w:t>
      </w:r>
      <w:r>
        <w:t>supported by Consultant Pathologist and Radiologists.</w:t>
      </w:r>
      <w:r w:rsidRPr="006B6B74">
        <w:t xml:space="preserve"> The department participates in </w:t>
      </w:r>
      <w:r>
        <w:t xml:space="preserve">the </w:t>
      </w:r>
      <w:r w:rsidRPr="006B6B74">
        <w:t xml:space="preserve">West of Scotland regional MDT via teleconference on a weekly basis. </w:t>
      </w:r>
      <w:r>
        <w:t xml:space="preserve">This is now followed by the National CAR-T MDT. The Haemato-Oncology service is supported by 3 full-time haematology clinical nurse specialists who works across both sites, and by dedicated pharmacy and AHP services. There are also close links with the palliative care service, based at the Ayrshire Hospice. </w:t>
      </w:r>
    </w:p>
    <w:p w14:paraId="555167D2" w14:textId="77777777" w:rsidR="00654F01" w:rsidRDefault="00654F01" w:rsidP="00654F01"/>
    <w:p w14:paraId="2F08C166" w14:textId="77777777" w:rsidR="00654F01" w:rsidRDefault="00654F01" w:rsidP="00654F01">
      <w:r>
        <w:t xml:space="preserve">UHC receives medical students (years 1-5) from The University of Glasgow Medical School, and the </w:t>
      </w:r>
      <w:r w:rsidRPr="00E87F39">
        <w:t>postholder would be expected to devote some of his / her SPA time to und</w:t>
      </w:r>
      <w:r>
        <w:t>ergraduate teaching activities.</w:t>
      </w:r>
      <w:r w:rsidRPr="00E87F39">
        <w:t xml:space="preserve"> Postgraduate teaching is coordinated by Dr Hugh Neil, Director of Medical Education. </w:t>
      </w:r>
    </w:p>
    <w:p w14:paraId="3F825AC8" w14:textId="77777777" w:rsidR="00654F01" w:rsidRDefault="00654F01" w:rsidP="00A569AC">
      <w:pPr>
        <w:rPr>
          <w:b/>
        </w:rPr>
      </w:pPr>
    </w:p>
    <w:p w14:paraId="059EFC8E" w14:textId="01D3ACDA" w:rsidR="00654F01" w:rsidRPr="00654F01" w:rsidRDefault="00654F01" w:rsidP="00A569AC">
      <w:r>
        <w:t xml:space="preserve">There is a Haematology education meeting on a Friday lunch time where all grades of doctor participate. We have recently invested money in a new multi-header microscope and TV monitor to aid laboratory teaching. </w:t>
      </w:r>
    </w:p>
    <w:p w14:paraId="5104B16A" w14:textId="77777777" w:rsidR="00654F01" w:rsidRDefault="00654F01" w:rsidP="00A569AC">
      <w:pPr>
        <w:rPr>
          <w:b/>
        </w:rPr>
      </w:pPr>
    </w:p>
    <w:p w14:paraId="3C170201" w14:textId="77777777" w:rsidR="00654F01" w:rsidRDefault="00654F01" w:rsidP="00A569AC">
      <w:pPr>
        <w:rPr>
          <w:b/>
        </w:rPr>
      </w:pPr>
    </w:p>
    <w:p w14:paraId="4EAA7D0B" w14:textId="77777777" w:rsidR="00A569AC" w:rsidRPr="006F3231" w:rsidRDefault="00A569AC" w:rsidP="00A569AC">
      <w:pPr>
        <w:rPr>
          <w:b/>
        </w:rPr>
      </w:pPr>
      <w:r w:rsidRPr="006F3231">
        <w:rPr>
          <w:b/>
        </w:rPr>
        <w:t xml:space="preserve">Medical Staff Resources </w:t>
      </w:r>
    </w:p>
    <w:p w14:paraId="7D8BE349" w14:textId="77777777" w:rsidR="00A569AC" w:rsidRPr="006F3231" w:rsidRDefault="00A569AC" w:rsidP="00A569AC"/>
    <w:p w14:paraId="33E91A8C" w14:textId="6297CA38" w:rsidR="00A569AC" w:rsidRDefault="00B02B23" w:rsidP="00A569AC">
      <w:pPr>
        <w:pStyle w:val="BodyText2"/>
      </w:pPr>
      <w:r w:rsidRPr="00B02B23">
        <w:t>The staffing of the Haematology Department is as follows:</w:t>
      </w:r>
    </w:p>
    <w:tbl>
      <w:tblPr>
        <w:tblStyle w:val="TableGrid"/>
        <w:tblpPr w:leftFromText="180" w:rightFromText="180" w:vertAnchor="text" w:horzAnchor="margin" w:tblpY="152"/>
        <w:tblW w:w="7970" w:type="dxa"/>
        <w:tblLook w:val="04A0" w:firstRow="1" w:lastRow="0" w:firstColumn="1" w:lastColumn="0" w:noHBand="0" w:noVBand="1"/>
      </w:tblPr>
      <w:tblGrid>
        <w:gridCol w:w="2725"/>
        <w:gridCol w:w="5245"/>
      </w:tblGrid>
      <w:tr w:rsidR="00B02B23" w:rsidRPr="00B02B23" w14:paraId="7857E083" w14:textId="77777777" w:rsidTr="00B02B23">
        <w:tc>
          <w:tcPr>
            <w:tcW w:w="2725" w:type="dxa"/>
          </w:tcPr>
          <w:p w14:paraId="1764773B" w14:textId="77777777" w:rsidR="00B02B23" w:rsidRPr="00B02B23" w:rsidRDefault="00B02B23" w:rsidP="00B02B23">
            <w:pPr>
              <w:pStyle w:val="BodyText2"/>
              <w:rPr>
                <w:rFonts w:ascii="Arial" w:eastAsia="Calibri" w:hAnsi="Arial" w:cs="Arial"/>
                <w:i/>
              </w:rPr>
            </w:pPr>
            <w:r w:rsidRPr="00B02B23">
              <w:rPr>
                <w:rFonts w:ascii="Arial" w:eastAsia="Calibri" w:hAnsi="Arial" w:cs="Arial"/>
                <w:i/>
              </w:rPr>
              <w:t>Consultant</w:t>
            </w:r>
          </w:p>
        </w:tc>
        <w:tc>
          <w:tcPr>
            <w:tcW w:w="5245" w:type="dxa"/>
          </w:tcPr>
          <w:p w14:paraId="043ECD55" w14:textId="77777777" w:rsidR="00B02B23" w:rsidRPr="00B02B23" w:rsidRDefault="00B02B23" w:rsidP="00B02B23">
            <w:pPr>
              <w:pStyle w:val="BodyText2"/>
              <w:rPr>
                <w:rFonts w:ascii="Arial" w:eastAsia="Calibri" w:hAnsi="Arial" w:cs="Arial"/>
                <w:i/>
              </w:rPr>
            </w:pPr>
            <w:r w:rsidRPr="00B02B23">
              <w:rPr>
                <w:rFonts w:ascii="Arial" w:eastAsia="Calibri" w:hAnsi="Arial" w:cs="Arial"/>
                <w:i/>
              </w:rPr>
              <w:t>Departmental responsibility</w:t>
            </w:r>
          </w:p>
        </w:tc>
      </w:tr>
      <w:tr w:rsidR="00B02B23" w:rsidRPr="00B02B23" w14:paraId="7307EA73" w14:textId="77777777" w:rsidTr="00B02B23">
        <w:tc>
          <w:tcPr>
            <w:tcW w:w="2725" w:type="dxa"/>
          </w:tcPr>
          <w:p w14:paraId="5E4CE8FD" w14:textId="77777777" w:rsidR="00B02B23" w:rsidRPr="00B02B23" w:rsidRDefault="00B02B23" w:rsidP="00B02B23">
            <w:pPr>
              <w:pStyle w:val="BodyText2"/>
              <w:rPr>
                <w:rFonts w:ascii="Arial" w:eastAsia="Calibri" w:hAnsi="Arial" w:cs="Arial"/>
              </w:rPr>
            </w:pPr>
            <w:r w:rsidRPr="00B02B23">
              <w:rPr>
                <w:rFonts w:ascii="Arial" w:eastAsia="Calibri" w:hAnsi="Arial" w:cs="Arial"/>
              </w:rPr>
              <w:t>Dr Peter Maclean</w:t>
            </w:r>
          </w:p>
        </w:tc>
        <w:tc>
          <w:tcPr>
            <w:tcW w:w="5245" w:type="dxa"/>
          </w:tcPr>
          <w:p w14:paraId="4793253A" w14:textId="77777777" w:rsidR="00B02B23" w:rsidRPr="00B02B23" w:rsidRDefault="00B02B23" w:rsidP="00B02B23">
            <w:pPr>
              <w:pStyle w:val="BodyText2"/>
              <w:rPr>
                <w:rFonts w:ascii="Arial" w:eastAsia="Calibri" w:hAnsi="Arial" w:cs="Arial"/>
              </w:rPr>
            </w:pPr>
            <w:r w:rsidRPr="00B02B23">
              <w:rPr>
                <w:rFonts w:ascii="Arial" w:eastAsia="Calibri" w:hAnsi="Arial" w:cs="Arial"/>
              </w:rPr>
              <w:t>Clinical Director, Cancer Services</w:t>
            </w:r>
          </w:p>
        </w:tc>
      </w:tr>
      <w:tr w:rsidR="00B02B23" w:rsidRPr="00B02B23" w14:paraId="5EBC0FC7" w14:textId="77777777" w:rsidTr="00B02B23">
        <w:tc>
          <w:tcPr>
            <w:tcW w:w="2725" w:type="dxa"/>
          </w:tcPr>
          <w:p w14:paraId="11BA2974" w14:textId="77777777" w:rsidR="00B02B23" w:rsidRPr="00B02B23" w:rsidRDefault="00B02B23" w:rsidP="00B02B23">
            <w:pPr>
              <w:pStyle w:val="BodyText2"/>
              <w:rPr>
                <w:rFonts w:ascii="Arial" w:eastAsia="Calibri" w:hAnsi="Arial" w:cs="Arial"/>
              </w:rPr>
            </w:pPr>
            <w:r w:rsidRPr="00B02B23">
              <w:rPr>
                <w:rFonts w:ascii="Arial" w:eastAsia="Calibri" w:hAnsi="Arial" w:cs="Arial"/>
              </w:rPr>
              <w:t>Dr Fiona Cutler</w:t>
            </w:r>
          </w:p>
        </w:tc>
        <w:tc>
          <w:tcPr>
            <w:tcW w:w="5245" w:type="dxa"/>
          </w:tcPr>
          <w:p w14:paraId="2DD4FB5E" w14:textId="77777777" w:rsidR="00B02B23" w:rsidRPr="00B02B23" w:rsidRDefault="00B02B23" w:rsidP="00B02B23">
            <w:pPr>
              <w:pStyle w:val="BodyText2"/>
              <w:rPr>
                <w:rFonts w:ascii="Arial" w:eastAsia="Calibri" w:hAnsi="Arial" w:cs="Arial"/>
              </w:rPr>
            </w:pPr>
            <w:r w:rsidRPr="00B02B23">
              <w:rPr>
                <w:rFonts w:ascii="Arial" w:eastAsia="Calibri" w:hAnsi="Arial" w:cs="Arial"/>
              </w:rPr>
              <w:t xml:space="preserve">SACT Lead - local and regional clinical lead </w:t>
            </w:r>
          </w:p>
        </w:tc>
      </w:tr>
      <w:tr w:rsidR="00B02B23" w:rsidRPr="00B02B23" w14:paraId="7112E587" w14:textId="77777777" w:rsidTr="00B02B23">
        <w:tc>
          <w:tcPr>
            <w:tcW w:w="2725" w:type="dxa"/>
          </w:tcPr>
          <w:p w14:paraId="6FB61BD5" w14:textId="77777777" w:rsidR="00B02B23" w:rsidRPr="00B02B23" w:rsidRDefault="00B02B23" w:rsidP="00B02B23">
            <w:pPr>
              <w:pStyle w:val="BodyText2"/>
              <w:rPr>
                <w:rFonts w:ascii="Arial" w:eastAsia="Calibri" w:hAnsi="Arial" w:cs="Arial"/>
              </w:rPr>
            </w:pPr>
            <w:r w:rsidRPr="00B02B23">
              <w:rPr>
                <w:rFonts w:ascii="Arial" w:eastAsia="Calibri" w:hAnsi="Arial" w:cs="Arial"/>
              </w:rPr>
              <w:t>Dr Fiona Nicholson</w:t>
            </w:r>
          </w:p>
        </w:tc>
        <w:tc>
          <w:tcPr>
            <w:tcW w:w="5245" w:type="dxa"/>
          </w:tcPr>
          <w:p w14:paraId="3856B2B7" w14:textId="77777777" w:rsidR="00B02B23" w:rsidRPr="00B02B23" w:rsidRDefault="00B02B23" w:rsidP="00B02B23">
            <w:pPr>
              <w:pStyle w:val="BodyText2"/>
              <w:rPr>
                <w:rFonts w:ascii="Arial" w:eastAsia="Calibri" w:hAnsi="Arial" w:cs="Arial"/>
              </w:rPr>
            </w:pPr>
            <w:r w:rsidRPr="00B02B23">
              <w:rPr>
                <w:rFonts w:ascii="Arial" w:eastAsia="Calibri" w:hAnsi="Arial" w:cs="Arial"/>
              </w:rPr>
              <w:t>Clinical Lead  Haematology</w:t>
            </w:r>
          </w:p>
        </w:tc>
      </w:tr>
      <w:tr w:rsidR="00B02B23" w:rsidRPr="00B02B23" w14:paraId="67FA9FD1" w14:textId="77777777" w:rsidTr="00B02B23">
        <w:tc>
          <w:tcPr>
            <w:tcW w:w="2725" w:type="dxa"/>
          </w:tcPr>
          <w:p w14:paraId="7CFC5E15" w14:textId="77777777" w:rsidR="00B02B23" w:rsidRPr="00B02B23" w:rsidRDefault="00B02B23" w:rsidP="00B02B23">
            <w:pPr>
              <w:pStyle w:val="BodyText2"/>
              <w:rPr>
                <w:rFonts w:ascii="Arial" w:eastAsia="Calibri" w:hAnsi="Arial" w:cs="Arial"/>
              </w:rPr>
            </w:pPr>
            <w:r w:rsidRPr="00B02B23">
              <w:rPr>
                <w:rFonts w:ascii="Arial" w:eastAsia="Calibri" w:hAnsi="Arial" w:cs="Arial"/>
              </w:rPr>
              <w:t>Dr William Gordon</w:t>
            </w:r>
          </w:p>
        </w:tc>
        <w:tc>
          <w:tcPr>
            <w:tcW w:w="5245" w:type="dxa"/>
          </w:tcPr>
          <w:p w14:paraId="78B23726" w14:textId="77777777" w:rsidR="00B02B23" w:rsidRPr="00B02B23" w:rsidRDefault="00B02B23" w:rsidP="00B02B23">
            <w:pPr>
              <w:pStyle w:val="BodyText2"/>
              <w:rPr>
                <w:rFonts w:ascii="Arial" w:eastAsia="Calibri" w:hAnsi="Arial" w:cs="Arial"/>
              </w:rPr>
            </w:pPr>
            <w:r w:rsidRPr="00B02B23">
              <w:rPr>
                <w:rFonts w:ascii="Arial" w:eastAsia="Calibri" w:hAnsi="Arial" w:cs="Arial"/>
              </w:rPr>
              <w:t>Education lead</w:t>
            </w:r>
          </w:p>
        </w:tc>
      </w:tr>
      <w:tr w:rsidR="00B02B23" w:rsidRPr="00B02B23" w14:paraId="0FB172D9" w14:textId="77777777" w:rsidTr="00B02B23">
        <w:tc>
          <w:tcPr>
            <w:tcW w:w="2725" w:type="dxa"/>
          </w:tcPr>
          <w:p w14:paraId="14D20E3D" w14:textId="77777777" w:rsidR="00B02B23" w:rsidRPr="00B02B23" w:rsidRDefault="00B02B23" w:rsidP="00B02B23">
            <w:pPr>
              <w:pStyle w:val="BodyText2"/>
              <w:rPr>
                <w:rFonts w:ascii="Arial" w:eastAsia="Calibri" w:hAnsi="Arial" w:cs="Arial"/>
              </w:rPr>
            </w:pPr>
            <w:r w:rsidRPr="00B02B23">
              <w:rPr>
                <w:rFonts w:ascii="Arial" w:eastAsia="Calibri" w:hAnsi="Arial" w:cs="Arial"/>
              </w:rPr>
              <w:t>Dr Ian Devanny</w:t>
            </w:r>
          </w:p>
        </w:tc>
        <w:tc>
          <w:tcPr>
            <w:tcW w:w="5245" w:type="dxa"/>
          </w:tcPr>
          <w:p w14:paraId="5978F08F" w14:textId="77777777" w:rsidR="00B02B23" w:rsidRPr="00B02B23" w:rsidRDefault="00B02B23" w:rsidP="00B02B23">
            <w:pPr>
              <w:pStyle w:val="BodyText2"/>
              <w:rPr>
                <w:rFonts w:ascii="Arial" w:eastAsia="Calibri" w:hAnsi="Arial" w:cs="Arial"/>
              </w:rPr>
            </w:pPr>
            <w:r w:rsidRPr="00B02B23">
              <w:rPr>
                <w:rFonts w:ascii="Arial" w:eastAsia="Calibri" w:hAnsi="Arial" w:cs="Arial"/>
              </w:rPr>
              <w:t>Anticoagulation and training lead</w:t>
            </w:r>
          </w:p>
        </w:tc>
      </w:tr>
      <w:tr w:rsidR="00B02B23" w:rsidRPr="00B02B23" w14:paraId="240BB52A" w14:textId="77777777" w:rsidTr="00B02B23">
        <w:tc>
          <w:tcPr>
            <w:tcW w:w="2725" w:type="dxa"/>
          </w:tcPr>
          <w:p w14:paraId="258F9A98" w14:textId="77777777" w:rsidR="00B02B23" w:rsidRPr="00B02B23" w:rsidRDefault="00B02B23" w:rsidP="00B02B23">
            <w:pPr>
              <w:pStyle w:val="BodyText2"/>
              <w:rPr>
                <w:rFonts w:ascii="Arial" w:eastAsia="Calibri" w:hAnsi="Arial" w:cs="Arial"/>
              </w:rPr>
            </w:pPr>
            <w:r w:rsidRPr="00B02B23">
              <w:rPr>
                <w:rFonts w:ascii="Arial" w:eastAsia="Calibri" w:hAnsi="Arial" w:cs="Arial"/>
              </w:rPr>
              <w:t>Samantha Duncan</w:t>
            </w:r>
          </w:p>
        </w:tc>
        <w:tc>
          <w:tcPr>
            <w:tcW w:w="5245" w:type="dxa"/>
          </w:tcPr>
          <w:p w14:paraId="112A6FB2" w14:textId="77777777" w:rsidR="00B02B23" w:rsidRPr="00B02B23" w:rsidRDefault="00B02B23" w:rsidP="00B02B23">
            <w:pPr>
              <w:pStyle w:val="BodyText2"/>
              <w:rPr>
                <w:rFonts w:ascii="Arial" w:eastAsia="Calibri" w:hAnsi="Arial" w:cs="Arial"/>
              </w:rPr>
            </w:pPr>
            <w:r w:rsidRPr="00B02B23">
              <w:rPr>
                <w:rFonts w:ascii="Arial" w:eastAsia="Calibri" w:hAnsi="Arial" w:cs="Arial"/>
              </w:rPr>
              <w:t>Transfusion lead</w:t>
            </w:r>
          </w:p>
        </w:tc>
      </w:tr>
      <w:tr w:rsidR="00B02B23" w:rsidRPr="00B02B23" w14:paraId="5E1450C7" w14:textId="77777777" w:rsidTr="00B02B23">
        <w:tc>
          <w:tcPr>
            <w:tcW w:w="2725" w:type="dxa"/>
          </w:tcPr>
          <w:p w14:paraId="7031DA41" w14:textId="77777777" w:rsidR="00B02B23" w:rsidRPr="00B02B23" w:rsidRDefault="00B02B23" w:rsidP="00B02B23">
            <w:pPr>
              <w:pStyle w:val="BodyText2"/>
              <w:rPr>
                <w:rFonts w:ascii="Arial" w:eastAsia="Calibri" w:hAnsi="Arial" w:cs="Arial"/>
              </w:rPr>
            </w:pPr>
            <w:r w:rsidRPr="00B02B23">
              <w:rPr>
                <w:rFonts w:ascii="Arial" w:eastAsia="Calibri" w:hAnsi="Arial" w:cs="Arial"/>
              </w:rPr>
              <w:t>Dr Dean Smyth</w:t>
            </w:r>
          </w:p>
        </w:tc>
        <w:tc>
          <w:tcPr>
            <w:tcW w:w="5245" w:type="dxa"/>
          </w:tcPr>
          <w:p w14:paraId="438EF330" w14:textId="77777777" w:rsidR="00B02B23" w:rsidRPr="00B02B23" w:rsidRDefault="00B02B23" w:rsidP="00B02B23">
            <w:pPr>
              <w:pStyle w:val="BodyText2"/>
              <w:rPr>
                <w:rFonts w:ascii="Arial" w:eastAsia="Calibri" w:hAnsi="Arial" w:cs="Arial"/>
              </w:rPr>
            </w:pPr>
            <w:r w:rsidRPr="00B02B23">
              <w:rPr>
                <w:rFonts w:ascii="Arial" w:eastAsia="Calibri" w:hAnsi="Arial" w:cs="Arial"/>
              </w:rPr>
              <w:t>Laboratory lead</w:t>
            </w:r>
          </w:p>
        </w:tc>
      </w:tr>
      <w:tr w:rsidR="00B02B23" w:rsidRPr="00B02B23" w14:paraId="6F690AEE" w14:textId="77777777" w:rsidTr="00B02B23">
        <w:tc>
          <w:tcPr>
            <w:tcW w:w="2725" w:type="dxa"/>
          </w:tcPr>
          <w:p w14:paraId="4C6BC20D" w14:textId="77777777" w:rsidR="00B02B23" w:rsidRPr="00B02B23" w:rsidRDefault="00B02B23" w:rsidP="00B02B23">
            <w:pPr>
              <w:pStyle w:val="BodyText2"/>
              <w:rPr>
                <w:rFonts w:ascii="Arial" w:eastAsia="Calibri" w:hAnsi="Arial" w:cs="Arial"/>
              </w:rPr>
            </w:pPr>
            <w:r w:rsidRPr="00B02B23">
              <w:rPr>
                <w:rFonts w:ascii="Arial" w:eastAsia="Calibri" w:hAnsi="Arial" w:cs="Arial"/>
              </w:rPr>
              <w:t xml:space="preserve">Vacancy </w:t>
            </w:r>
          </w:p>
        </w:tc>
        <w:tc>
          <w:tcPr>
            <w:tcW w:w="5245" w:type="dxa"/>
          </w:tcPr>
          <w:p w14:paraId="5D004BCE" w14:textId="77777777" w:rsidR="00B02B23" w:rsidRPr="00B02B23" w:rsidRDefault="00B02B23" w:rsidP="00B02B23">
            <w:pPr>
              <w:pStyle w:val="BodyText2"/>
              <w:rPr>
                <w:rFonts w:ascii="Arial" w:eastAsia="Calibri" w:hAnsi="Arial" w:cs="Arial"/>
              </w:rPr>
            </w:pPr>
          </w:p>
        </w:tc>
      </w:tr>
    </w:tbl>
    <w:p w14:paraId="4968B012" w14:textId="77777777" w:rsidR="00B02B23" w:rsidRDefault="00B02B23" w:rsidP="00A569AC">
      <w:pPr>
        <w:pStyle w:val="BodyText2"/>
      </w:pPr>
    </w:p>
    <w:p w14:paraId="22F57F8E" w14:textId="77777777" w:rsidR="00B02B23" w:rsidRDefault="00B02B23" w:rsidP="00A569AC">
      <w:pPr>
        <w:pStyle w:val="BodyText2"/>
      </w:pPr>
    </w:p>
    <w:p w14:paraId="3F2B3776" w14:textId="77777777" w:rsidR="00B02B23" w:rsidRDefault="00B02B23" w:rsidP="00A569AC">
      <w:pPr>
        <w:pStyle w:val="BodyText2"/>
      </w:pPr>
    </w:p>
    <w:p w14:paraId="77FB91A4" w14:textId="77777777" w:rsidR="00B02B23" w:rsidRDefault="00B02B23" w:rsidP="00A569AC">
      <w:pPr>
        <w:pStyle w:val="BodyText2"/>
      </w:pPr>
    </w:p>
    <w:p w14:paraId="056744E6" w14:textId="77777777" w:rsidR="002A17E7" w:rsidRDefault="002A17E7" w:rsidP="00A569AC">
      <w:pPr>
        <w:pStyle w:val="BodyText2"/>
      </w:pPr>
    </w:p>
    <w:p w14:paraId="65CADF1A" w14:textId="77777777" w:rsidR="002A17E7" w:rsidRDefault="002A17E7" w:rsidP="00A569AC">
      <w:pPr>
        <w:pStyle w:val="BodyText2"/>
      </w:pPr>
    </w:p>
    <w:p w14:paraId="32DDE773" w14:textId="77777777" w:rsidR="002A17E7" w:rsidRDefault="002A17E7" w:rsidP="00A569AC">
      <w:pPr>
        <w:pStyle w:val="BodyText2"/>
      </w:pPr>
    </w:p>
    <w:p w14:paraId="0604FC0D" w14:textId="77777777" w:rsidR="002A17E7" w:rsidRDefault="002A17E7" w:rsidP="00A569AC">
      <w:pPr>
        <w:pStyle w:val="BodyText2"/>
      </w:pPr>
    </w:p>
    <w:p w14:paraId="084626F6" w14:textId="77777777" w:rsidR="002A17E7" w:rsidRDefault="002A17E7" w:rsidP="00A569AC">
      <w:pPr>
        <w:pStyle w:val="BodyText2"/>
      </w:pPr>
    </w:p>
    <w:p w14:paraId="0651739A" w14:textId="77777777" w:rsidR="002A17E7" w:rsidRDefault="002A17E7" w:rsidP="00A569AC">
      <w:pPr>
        <w:pStyle w:val="BodyText2"/>
      </w:pPr>
    </w:p>
    <w:p w14:paraId="331D0434" w14:textId="77777777" w:rsidR="00B02B23" w:rsidRDefault="00B02B23" w:rsidP="00B02B23">
      <w:r w:rsidRPr="00E87F39">
        <w:t>Biomedical scientist staffing consists of:</w:t>
      </w:r>
    </w:p>
    <w:p w14:paraId="7B371DAC" w14:textId="77777777" w:rsidR="00B02B23" w:rsidRPr="00E87F39" w:rsidRDefault="00B02B23" w:rsidP="00B02B23"/>
    <w:p w14:paraId="0C7A4713" w14:textId="77777777" w:rsidR="00B02B23" w:rsidRDefault="00B02B23" w:rsidP="00B02B23">
      <w:r>
        <w:t xml:space="preserve">Haematology Lab Manager                                                   </w:t>
      </w:r>
      <w:r>
        <w:tab/>
        <w:t>1.0 WTE</w:t>
      </w:r>
    </w:p>
    <w:p w14:paraId="4A05537B" w14:textId="77777777" w:rsidR="00B02B23" w:rsidRDefault="00B02B23" w:rsidP="00B02B23">
      <w:r>
        <w:t xml:space="preserve">Lead Scientist Haematology                                                  </w:t>
      </w:r>
      <w:r>
        <w:tab/>
        <w:t>1.0 WTE</w:t>
      </w:r>
    </w:p>
    <w:p w14:paraId="49607CA3" w14:textId="77777777" w:rsidR="00B02B23" w:rsidRDefault="00B02B23" w:rsidP="00B02B23">
      <w:r>
        <w:t xml:space="preserve">Lead Scientist Blood Transfusion                                           </w:t>
      </w:r>
      <w:r>
        <w:tab/>
        <w:t>1.0 WTE</w:t>
      </w:r>
    </w:p>
    <w:p w14:paraId="159A42B9" w14:textId="77777777" w:rsidR="00B02B23" w:rsidRDefault="00B02B23" w:rsidP="00B02B23">
      <w:r>
        <w:t>Chief BMS Special Haematology/Immunology</w:t>
      </w:r>
      <w:r>
        <w:tab/>
        <w:t xml:space="preserve">                    </w:t>
      </w:r>
      <w:r>
        <w:tab/>
        <w:t xml:space="preserve">1.0 WTE  </w:t>
      </w:r>
      <w:r>
        <w:tab/>
      </w:r>
    </w:p>
    <w:p w14:paraId="59FE6DF3" w14:textId="77777777" w:rsidR="00B02B23" w:rsidRDefault="00B02B23" w:rsidP="00B02B23">
      <w:r w:rsidRPr="006917CF">
        <w:t>Senior BMS</w:t>
      </w:r>
      <w:r>
        <w:tab/>
      </w:r>
      <w:r>
        <w:tab/>
      </w:r>
      <w:r>
        <w:tab/>
      </w:r>
      <w:r>
        <w:tab/>
      </w:r>
      <w:r>
        <w:tab/>
      </w:r>
      <w:r>
        <w:tab/>
        <w:t xml:space="preserve">                   </w:t>
      </w:r>
      <w:r>
        <w:tab/>
        <w:t>7.6 WTE</w:t>
      </w:r>
    </w:p>
    <w:p w14:paraId="10CCECB4" w14:textId="77777777" w:rsidR="00B02B23" w:rsidRDefault="00B02B23" w:rsidP="00B02B23">
      <w:r>
        <w:t>Specialist BMS  </w:t>
      </w:r>
      <w:r>
        <w:tab/>
      </w:r>
      <w:r>
        <w:tab/>
      </w:r>
      <w:r>
        <w:tab/>
      </w:r>
      <w:r>
        <w:tab/>
      </w:r>
      <w:r>
        <w:tab/>
        <w:t xml:space="preserve">            </w:t>
      </w:r>
      <w:r>
        <w:tab/>
        <w:t>16.3 WTE</w:t>
      </w:r>
    </w:p>
    <w:p w14:paraId="20A17EAC" w14:textId="77777777" w:rsidR="00B02B23" w:rsidRDefault="00B02B23" w:rsidP="00B02B23">
      <w:r>
        <w:t>BMS/Trainee BMS                                                                    7.0 WTE</w:t>
      </w:r>
    </w:p>
    <w:p w14:paraId="6E8558AF" w14:textId="77777777" w:rsidR="00B02B23" w:rsidRDefault="00B02B23" w:rsidP="00B02B23">
      <w:r>
        <w:t>Quality manager (multidisciplinary)      </w:t>
      </w:r>
      <w:r>
        <w:tab/>
      </w:r>
      <w:r>
        <w:tab/>
      </w:r>
      <w:r>
        <w:tab/>
      </w:r>
      <w:r>
        <w:tab/>
        <w:t xml:space="preserve"> 0.25 WTE</w:t>
      </w:r>
    </w:p>
    <w:p w14:paraId="0CA8275D" w14:textId="77777777" w:rsidR="00B02B23" w:rsidRDefault="00B02B23" w:rsidP="00B02B23">
      <w:r>
        <w:t>MLA                                                           </w:t>
      </w:r>
      <w:r>
        <w:tab/>
      </w:r>
      <w:r>
        <w:tab/>
      </w:r>
      <w:r>
        <w:tab/>
        <w:t>14.3 WTE</w:t>
      </w:r>
    </w:p>
    <w:p w14:paraId="29FAE2F1" w14:textId="77777777" w:rsidR="00B02B23" w:rsidRDefault="00B02B23" w:rsidP="00B02B23">
      <w:r>
        <w:t>Administrative staff</w:t>
      </w:r>
      <w:r>
        <w:tab/>
      </w:r>
      <w:r>
        <w:tab/>
        <w:t xml:space="preserve">                        </w:t>
      </w:r>
      <w:r>
        <w:tab/>
      </w:r>
      <w:r>
        <w:tab/>
      </w:r>
      <w:r>
        <w:tab/>
        <w:t xml:space="preserve"> 6.5 WTE </w:t>
      </w:r>
    </w:p>
    <w:p w14:paraId="65779E22" w14:textId="77777777" w:rsidR="002A17E7" w:rsidRDefault="002A17E7" w:rsidP="00A569AC">
      <w:pPr>
        <w:pStyle w:val="BodyText2"/>
      </w:pPr>
    </w:p>
    <w:p w14:paraId="10AC4DF8" w14:textId="77777777" w:rsidR="00A569AC" w:rsidRDefault="00A569AC" w:rsidP="00A569AC"/>
    <w:p w14:paraId="0EC023D9" w14:textId="77777777" w:rsidR="00B02B23" w:rsidRDefault="00B02B23" w:rsidP="00B02B23">
      <w:pPr>
        <w:rPr>
          <w:b/>
        </w:rPr>
      </w:pPr>
    </w:p>
    <w:p w14:paraId="7C2BFAB2" w14:textId="77777777" w:rsidR="00B02B23" w:rsidRDefault="00B02B23" w:rsidP="00B02B23">
      <w:pPr>
        <w:rPr>
          <w:b/>
        </w:rPr>
      </w:pPr>
    </w:p>
    <w:p w14:paraId="3E3D67B7" w14:textId="77777777" w:rsidR="00B02B23" w:rsidRDefault="00B02B23" w:rsidP="00B02B23">
      <w:pPr>
        <w:rPr>
          <w:b/>
        </w:rPr>
      </w:pPr>
    </w:p>
    <w:p w14:paraId="54C0A46E" w14:textId="77777777" w:rsidR="00B02B23" w:rsidRDefault="00B02B23" w:rsidP="00B02B23">
      <w:pPr>
        <w:rPr>
          <w:b/>
        </w:rPr>
      </w:pPr>
    </w:p>
    <w:p w14:paraId="7D70FEB4" w14:textId="77777777" w:rsidR="00B02B23" w:rsidRDefault="00B02B23" w:rsidP="00B02B23">
      <w:pPr>
        <w:rPr>
          <w:b/>
        </w:rPr>
      </w:pPr>
    </w:p>
    <w:p w14:paraId="57FA24B2" w14:textId="77777777" w:rsidR="00B02B23" w:rsidRPr="006F3231" w:rsidRDefault="00B02B23" w:rsidP="00B02B23">
      <w:pPr>
        <w:rPr>
          <w:b/>
        </w:rPr>
      </w:pPr>
      <w:r w:rsidRPr="006F3231">
        <w:rPr>
          <w:b/>
        </w:rPr>
        <w:lastRenderedPageBreak/>
        <w:t xml:space="preserve">Clinical Activity </w:t>
      </w:r>
    </w:p>
    <w:p w14:paraId="325EAB4A" w14:textId="77777777" w:rsidR="00B02B23" w:rsidRPr="006F3231" w:rsidRDefault="00B02B23" w:rsidP="00B02B23">
      <w:pPr>
        <w:rPr>
          <w:i/>
          <w:u w:val="single"/>
        </w:rPr>
      </w:pPr>
    </w:p>
    <w:p w14:paraId="74DDFB90" w14:textId="77777777" w:rsidR="00B02B23" w:rsidRPr="006F3231" w:rsidRDefault="00B02B23" w:rsidP="00B02B23">
      <w:pPr>
        <w:pStyle w:val="NoSpacing"/>
      </w:pPr>
      <w:r>
        <w:t xml:space="preserve">Clinical Haematology is managed by the Surgical Directorate which includes Cancer Services. </w:t>
      </w:r>
      <w:r w:rsidRPr="006F3231">
        <w:t>There is considerable activity in all areas with rece</w:t>
      </w:r>
      <w:r>
        <w:t>nt workload figures shown below:</w:t>
      </w:r>
    </w:p>
    <w:p w14:paraId="0308C0AC" w14:textId="77777777" w:rsidR="00B02B23" w:rsidRPr="006F3231" w:rsidRDefault="00B02B23" w:rsidP="00B02B23">
      <w:pPr>
        <w:pStyle w:val="NoSpacing"/>
      </w:pPr>
    </w:p>
    <w:tbl>
      <w:tblPr>
        <w:tblW w:w="90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13"/>
        <w:gridCol w:w="1514"/>
        <w:gridCol w:w="1513"/>
        <w:gridCol w:w="1514"/>
        <w:gridCol w:w="1513"/>
        <w:gridCol w:w="1514"/>
      </w:tblGrid>
      <w:tr w:rsidR="00B02B23" w:rsidRPr="000742B2" w14:paraId="45C45996" w14:textId="77777777" w:rsidTr="00A32C99">
        <w:trPr>
          <w:trHeight w:val="1262"/>
          <w:jc w:val="center"/>
        </w:trPr>
        <w:tc>
          <w:tcPr>
            <w:tcW w:w="1513" w:type="dxa"/>
          </w:tcPr>
          <w:p w14:paraId="01D4359E" w14:textId="77777777" w:rsidR="00B02B23" w:rsidRPr="0040373A" w:rsidRDefault="00B02B23" w:rsidP="00A32C99">
            <w:pPr>
              <w:pStyle w:val="Heading1"/>
              <w:rPr>
                <w:rFonts w:ascii="Arial" w:hAnsi="Arial" w:cs="Arial"/>
                <w:color w:val="000000" w:themeColor="text1"/>
                <w:sz w:val="20"/>
                <w:szCs w:val="22"/>
              </w:rPr>
            </w:pPr>
            <w:r w:rsidRPr="0040373A">
              <w:rPr>
                <w:rFonts w:ascii="Arial" w:hAnsi="Arial" w:cs="Arial"/>
                <w:color w:val="000000" w:themeColor="text1"/>
                <w:sz w:val="20"/>
                <w:szCs w:val="22"/>
              </w:rPr>
              <w:t>Haematology Activity</w:t>
            </w:r>
          </w:p>
          <w:p w14:paraId="4519AB8B" w14:textId="77777777" w:rsidR="00B02B23" w:rsidRPr="0040373A" w:rsidRDefault="00B02B23" w:rsidP="00A32C99">
            <w:pPr>
              <w:rPr>
                <w:sz w:val="22"/>
                <w:szCs w:val="22"/>
              </w:rPr>
            </w:pPr>
          </w:p>
        </w:tc>
        <w:tc>
          <w:tcPr>
            <w:tcW w:w="1514" w:type="dxa"/>
          </w:tcPr>
          <w:p w14:paraId="04D6C65E" w14:textId="77777777" w:rsidR="00B02B23" w:rsidRDefault="00B02B23" w:rsidP="00A32C99">
            <w:pPr>
              <w:jc w:val="center"/>
              <w:rPr>
                <w:b/>
                <w:color w:val="000000" w:themeColor="text1"/>
                <w:sz w:val="22"/>
              </w:rPr>
            </w:pPr>
          </w:p>
          <w:p w14:paraId="3E84ABF0" w14:textId="77777777" w:rsidR="00B02B23" w:rsidRDefault="00B02B23" w:rsidP="00A32C99">
            <w:pPr>
              <w:jc w:val="center"/>
              <w:rPr>
                <w:b/>
                <w:color w:val="000000" w:themeColor="text1"/>
                <w:sz w:val="22"/>
              </w:rPr>
            </w:pPr>
          </w:p>
          <w:p w14:paraId="02C4DAFA" w14:textId="77777777" w:rsidR="00B02B23" w:rsidRPr="000742B2" w:rsidRDefault="00B02B23" w:rsidP="00A32C99">
            <w:pPr>
              <w:jc w:val="center"/>
              <w:rPr>
                <w:b/>
                <w:color w:val="000000" w:themeColor="text1"/>
                <w:sz w:val="22"/>
              </w:rPr>
            </w:pPr>
            <w:r w:rsidRPr="000742B2">
              <w:rPr>
                <w:b/>
                <w:color w:val="000000" w:themeColor="text1"/>
                <w:sz w:val="22"/>
              </w:rPr>
              <w:t>2016/17</w:t>
            </w:r>
          </w:p>
        </w:tc>
        <w:tc>
          <w:tcPr>
            <w:tcW w:w="1513" w:type="dxa"/>
          </w:tcPr>
          <w:p w14:paraId="5511528E" w14:textId="77777777" w:rsidR="00B02B23" w:rsidRDefault="00B02B23" w:rsidP="00A32C99">
            <w:pPr>
              <w:jc w:val="center"/>
              <w:rPr>
                <w:b/>
                <w:color w:val="000000" w:themeColor="text1"/>
                <w:sz w:val="22"/>
              </w:rPr>
            </w:pPr>
          </w:p>
          <w:p w14:paraId="1498F219" w14:textId="77777777" w:rsidR="00B02B23" w:rsidRDefault="00B02B23" w:rsidP="00A32C99">
            <w:pPr>
              <w:jc w:val="center"/>
              <w:rPr>
                <w:b/>
                <w:color w:val="000000" w:themeColor="text1"/>
                <w:sz w:val="22"/>
              </w:rPr>
            </w:pPr>
          </w:p>
          <w:p w14:paraId="4A8C71C3" w14:textId="77777777" w:rsidR="00B02B23" w:rsidRPr="000742B2" w:rsidRDefault="00B02B23" w:rsidP="00A32C99">
            <w:pPr>
              <w:jc w:val="center"/>
              <w:rPr>
                <w:b/>
                <w:color w:val="000000" w:themeColor="text1"/>
                <w:sz w:val="22"/>
              </w:rPr>
            </w:pPr>
            <w:r w:rsidRPr="000742B2">
              <w:rPr>
                <w:b/>
                <w:color w:val="000000" w:themeColor="text1"/>
                <w:sz w:val="22"/>
              </w:rPr>
              <w:t>2017/18</w:t>
            </w:r>
          </w:p>
        </w:tc>
        <w:tc>
          <w:tcPr>
            <w:tcW w:w="1514" w:type="dxa"/>
          </w:tcPr>
          <w:p w14:paraId="08F52707" w14:textId="77777777" w:rsidR="00B02B23" w:rsidRDefault="00B02B23" w:rsidP="00A32C99">
            <w:pPr>
              <w:jc w:val="center"/>
              <w:rPr>
                <w:b/>
                <w:color w:val="000000" w:themeColor="text1"/>
                <w:sz w:val="22"/>
              </w:rPr>
            </w:pPr>
          </w:p>
          <w:p w14:paraId="3FE6DB36" w14:textId="77777777" w:rsidR="00B02B23" w:rsidRDefault="00B02B23" w:rsidP="00A32C99">
            <w:pPr>
              <w:jc w:val="center"/>
              <w:rPr>
                <w:b/>
                <w:color w:val="000000" w:themeColor="text1"/>
                <w:sz w:val="22"/>
              </w:rPr>
            </w:pPr>
          </w:p>
          <w:p w14:paraId="16746BC7" w14:textId="77777777" w:rsidR="00B02B23" w:rsidRPr="000742B2" w:rsidRDefault="00B02B23" w:rsidP="00A32C99">
            <w:pPr>
              <w:jc w:val="center"/>
              <w:rPr>
                <w:b/>
                <w:color w:val="000000" w:themeColor="text1"/>
                <w:sz w:val="22"/>
              </w:rPr>
            </w:pPr>
            <w:r w:rsidRPr="000742B2">
              <w:rPr>
                <w:b/>
                <w:color w:val="000000" w:themeColor="text1"/>
                <w:sz w:val="22"/>
              </w:rPr>
              <w:t>2018/19</w:t>
            </w:r>
          </w:p>
        </w:tc>
        <w:tc>
          <w:tcPr>
            <w:tcW w:w="1513" w:type="dxa"/>
          </w:tcPr>
          <w:p w14:paraId="0B577DE0" w14:textId="77777777" w:rsidR="00B02B23" w:rsidRDefault="00B02B23" w:rsidP="00A32C99">
            <w:pPr>
              <w:jc w:val="center"/>
              <w:rPr>
                <w:b/>
                <w:color w:val="000000" w:themeColor="text1"/>
                <w:sz w:val="22"/>
              </w:rPr>
            </w:pPr>
          </w:p>
          <w:p w14:paraId="36849FEA" w14:textId="77777777" w:rsidR="00B02B23" w:rsidRDefault="00B02B23" w:rsidP="00A32C99">
            <w:pPr>
              <w:jc w:val="center"/>
              <w:rPr>
                <w:b/>
                <w:color w:val="000000" w:themeColor="text1"/>
                <w:sz w:val="22"/>
              </w:rPr>
            </w:pPr>
          </w:p>
          <w:p w14:paraId="18F7ADED" w14:textId="77777777" w:rsidR="00B02B23" w:rsidRDefault="00B02B23" w:rsidP="00A32C99">
            <w:pPr>
              <w:jc w:val="center"/>
              <w:rPr>
                <w:b/>
                <w:color w:val="000000" w:themeColor="text1"/>
                <w:sz w:val="22"/>
              </w:rPr>
            </w:pPr>
            <w:r>
              <w:rPr>
                <w:b/>
                <w:color w:val="000000" w:themeColor="text1"/>
                <w:sz w:val="22"/>
              </w:rPr>
              <w:t>2019/20</w:t>
            </w:r>
          </w:p>
        </w:tc>
        <w:tc>
          <w:tcPr>
            <w:tcW w:w="1514" w:type="dxa"/>
          </w:tcPr>
          <w:p w14:paraId="70D80F5F" w14:textId="77777777" w:rsidR="00B02B23" w:rsidRDefault="00B02B23" w:rsidP="00A32C99">
            <w:pPr>
              <w:jc w:val="center"/>
              <w:rPr>
                <w:b/>
                <w:color w:val="000000" w:themeColor="text1"/>
                <w:sz w:val="22"/>
              </w:rPr>
            </w:pPr>
          </w:p>
          <w:p w14:paraId="2BD2AB25" w14:textId="77777777" w:rsidR="00B02B23" w:rsidRDefault="00B02B23" w:rsidP="00A32C99">
            <w:pPr>
              <w:jc w:val="center"/>
              <w:rPr>
                <w:b/>
                <w:color w:val="000000" w:themeColor="text1"/>
                <w:sz w:val="22"/>
              </w:rPr>
            </w:pPr>
          </w:p>
          <w:p w14:paraId="4BFC7931" w14:textId="77777777" w:rsidR="00B02B23" w:rsidRDefault="00B02B23" w:rsidP="00A32C99">
            <w:pPr>
              <w:jc w:val="center"/>
              <w:rPr>
                <w:b/>
                <w:color w:val="000000" w:themeColor="text1"/>
                <w:sz w:val="22"/>
              </w:rPr>
            </w:pPr>
            <w:r>
              <w:rPr>
                <w:b/>
                <w:color w:val="000000" w:themeColor="text1"/>
                <w:sz w:val="22"/>
              </w:rPr>
              <w:t>2020/21</w:t>
            </w:r>
          </w:p>
          <w:p w14:paraId="2FC222F8" w14:textId="77777777" w:rsidR="00B02B23" w:rsidRDefault="00B02B23" w:rsidP="00A32C99">
            <w:pPr>
              <w:jc w:val="center"/>
              <w:rPr>
                <w:b/>
                <w:color w:val="000000" w:themeColor="text1"/>
                <w:sz w:val="22"/>
              </w:rPr>
            </w:pPr>
            <w:r>
              <w:rPr>
                <w:b/>
                <w:color w:val="000000" w:themeColor="text1"/>
                <w:sz w:val="22"/>
              </w:rPr>
              <w:t>(</w:t>
            </w:r>
            <w:r w:rsidRPr="001571F0">
              <w:rPr>
                <w:color w:val="000000" w:themeColor="text1"/>
                <w:sz w:val="22"/>
              </w:rPr>
              <w:t>Pandemic</w:t>
            </w:r>
            <w:r>
              <w:rPr>
                <w:b/>
                <w:color w:val="000000" w:themeColor="text1"/>
                <w:sz w:val="22"/>
              </w:rPr>
              <w:t>)</w:t>
            </w:r>
          </w:p>
        </w:tc>
      </w:tr>
      <w:tr w:rsidR="00B02B23" w:rsidRPr="000742B2" w14:paraId="5741DF5C" w14:textId="77777777" w:rsidTr="00A32C99">
        <w:trPr>
          <w:trHeight w:val="1262"/>
          <w:jc w:val="center"/>
        </w:trPr>
        <w:tc>
          <w:tcPr>
            <w:tcW w:w="1513" w:type="dxa"/>
          </w:tcPr>
          <w:p w14:paraId="18ADB300" w14:textId="77777777" w:rsidR="00B02B23" w:rsidRPr="0040373A" w:rsidRDefault="00B02B23" w:rsidP="00A32C99">
            <w:pPr>
              <w:rPr>
                <w:color w:val="000000" w:themeColor="text1"/>
                <w:sz w:val="22"/>
                <w:szCs w:val="22"/>
              </w:rPr>
            </w:pPr>
            <w:r w:rsidRPr="0040373A">
              <w:rPr>
                <w:color w:val="000000" w:themeColor="text1"/>
                <w:sz w:val="22"/>
                <w:szCs w:val="22"/>
              </w:rPr>
              <w:t>Outpatients attendances</w:t>
            </w:r>
          </w:p>
        </w:tc>
        <w:tc>
          <w:tcPr>
            <w:tcW w:w="1514" w:type="dxa"/>
          </w:tcPr>
          <w:p w14:paraId="5AB8C2DE" w14:textId="77777777" w:rsidR="00B02B23" w:rsidRPr="000742B2" w:rsidRDefault="00B02B23" w:rsidP="00A32C99">
            <w:pPr>
              <w:jc w:val="center"/>
              <w:rPr>
                <w:color w:val="000000" w:themeColor="text1"/>
              </w:rPr>
            </w:pPr>
            <w:r>
              <w:rPr>
                <w:color w:val="000000" w:themeColor="text1"/>
              </w:rPr>
              <w:t>29433</w:t>
            </w:r>
          </w:p>
        </w:tc>
        <w:tc>
          <w:tcPr>
            <w:tcW w:w="1513" w:type="dxa"/>
          </w:tcPr>
          <w:p w14:paraId="7D189D81" w14:textId="77777777" w:rsidR="00B02B23" w:rsidRPr="000742B2" w:rsidRDefault="00B02B23" w:rsidP="00A32C99">
            <w:pPr>
              <w:jc w:val="center"/>
              <w:rPr>
                <w:color w:val="000000" w:themeColor="text1"/>
              </w:rPr>
            </w:pPr>
            <w:r>
              <w:rPr>
                <w:color w:val="000000" w:themeColor="text1"/>
              </w:rPr>
              <w:t>23970</w:t>
            </w:r>
          </w:p>
        </w:tc>
        <w:tc>
          <w:tcPr>
            <w:tcW w:w="1514" w:type="dxa"/>
          </w:tcPr>
          <w:p w14:paraId="345F5C6B" w14:textId="77777777" w:rsidR="00B02B23" w:rsidRPr="000742B2" w:rsidRDefault="00B02B23" w:rsidP="00A32C99">
            <w:pPr>
              <w:jc w:val="center"/>
              <w:rPr>
                <w:color w:val="000000" w:themeColor="text1"/>
              </w:rPr>
            </w:pPr>
            <w:r>
              <w:rPr>
                <w:color w:val="000000" w:themeColor="text1"/>
              </w:rPr>
              <w:t>23543</w:t>
            </w:r>
          </w:p>
        </w:tc>
        <w:tc>
          <w:tcPr>
            <w:tcW w:w="1513" w:type="dxa"/>
          </w:tcPr>
          <w:p w14:paraId="496946C4" w14:textId="77777777" w:rsidR="00B02B23" w:rsidRDefault="00B02B23" w:rsidP="00A32C99">
            <w:pPr>
              <w:jc w:val="center"/>
              <w:rPr>
                <w:color w:val="000000" w:themeColor="text1"/>
              </w:rPr>
            </w:pPr>
            <w:r>
              <w:rPr>
                <w:color w:val="000000" w:themeColor="text1"/>
              </w:rPr>
              <w:t>31737</w:t>
            </w:r>
          </w:p>
        </w:tc>
        <w:tc>
          <w:tcPr>
            <w:tcW w:w="1514" w:type="dxa"/>
          </w:tcPr>
          <w:p w14:paraId="66CCBB7F" w14:textId="77777777" w:rsidR="00B02B23" w:rsidRDefault="00B02B23" w:rsidP="00A32C99">
            <w:pPr>
              <w:jc w:val="center"/>
              <w:rPr>
                <w:color w:val="000000" w:themeColor="text1"/>
              </w:rPr>
            </w:pPr>
            <w:r>
              <w:rPr>
                <w:color w:val="000000" w:themeColor="text1"/>
              </w:rPr>
              <w:t>42577</w:t>
            </w:r>
          </w:p>
        </w:tc>
      </w:tr>
      <w:tr w:rsidR="00B02B23" w:rsidRPr="000742B2" w14:paraId="24952927" w14:textId="77777777" w:rsidTr="00A32C99">
        <w:trPr>
          <w:trHeight w:val="1262"/>
          <w:jc w:val="center"/>
        </w:trPr>
        <w:tc>
          <w:tcPr>
            <w:tcW w:w="1513" w:type="dxa"/>
          </w:tcPr>
          <w:p w14:paraId="1522BFAA" w14:textId="77777777" w:rsidR="00B02B23" w:rsidRPr="0040373A" w:rsidRDefault="00B02B23" w:rsidP="00A32C99">
            <w:pPr>
              <w:rPr>
                <w:color w:val="000000" w:themeColor="text1"/>
                <w:sz w:val="22"/>
                <w:szCs w:val="22"/>
              </w:rPr>
            </w:pPr>
            <w:r w:rsidRPr="0040373A">
              <w:rPr>
                <w:color w:val="000000" w:themeColor="text1"/>
                <w:sz w:val="22"/>
                <w:szCs w:val="22"/>
              </w:rPr>
              <w:t>New Outpatients</w:t>
            </w:r>
          </w:p>
        </w:tc>
        <w:tc>
          <w:tcPr>
            <w:tcW w:w="1514" w:type="dxa"/>
          </w:tcPr>
          <w:p w14:paraId="711F9E2B" w14:textId="77777777" w:rsidR="00B02B23" w:rsidRPr="000742B2" w:rsidRDefault="00B02B23" w:rsidP="00A32C99">
            <w:pPr>
              <w:jc w:val="center"/>
              <w:rPr>
                <w:color w:val="000000" w:themeColor="text1"/>
              </w:rPr>
            </w:pPr>
            <w:r>
              <w:rPr>
                <w:color w:val="000000" w:themeColor="text1"/>
              </w:rPr>
              <w:t>821</w:t>
            </w:r>
          </w:p>
        </w:tc>
        <w:tc>
          <w:tcPr>
            <w:tcW w:w="1513" w:type="dxa"/>
          </w:tcPr>
          <w:p w14:paraId="6503C76A" w14:textId="77777777" w:rsidR="00B02B23" w:rsidRPr="000742B2" w:rsidRDefault="00B02B23" w:rsidP="00A32C99">
            <w:pPr>
              <w:jc w:val="center"/>
              <w:rPr>
                <w:color w:val="000000" w:themeColor="text1"/>
              </w:rPr>
            </w:pPr>
            <w:r>
              <w:rPr>
                <w:color w:val="000000" w:themeColor="text1"/>
              </w:rPr>
              <w:t>674</w:t>
            </w:r>
          </w:p>
        </w:tc>
        <w:tc>
          <w:tcPr>
            <w:tcW w:w="1514" w:type="dxa"/>
          </w:tcPr>
          <w:p w14:paraId="5D0607A5" w14:textId="77777777" w:rsidR="00B02B23" w:rsidRPr="000742B2" w:rsidRDefault="00B02B23" w:rsidP="00A32C99">
            <w:pPr>
              <w:jc w:val="center"/>
              <w:rPr>
                <w:color w:val="000000" w:themeColor="text1"/>
              </w:rPr>
            </w:pPr>
            <w:r>
              <w:rPr>
                <w:color w:val="000000" w:themeColor="text1"/>
              </w:rPr>
              <w:t>651</w:t>
            </w:r>
          </w:p>
        </w:tc>
        <w:tc>
          <w:tcPr>
            <w:tcW w:w="1513" w:type="dxa"/>
          </w:tcPr>
          <w:p w14:paraId="4B60327C" w14:textId="77777777" w:rsidR="00B02B23" w:rsidRDefault="00B02B23" w:rsidP="00A32C99">
            <w:pPr>
              <w:jc w:val="center"/>
              <w:rPr>
                <w:color w:val="000000" w:themeColor="text1"/>
              </w:rPr>
            </w:pPr>
            <w:r>
              <w:rPr>
                <w:color w:val="000000" w:themeColor="text1"/>
              </w:rPr>
              <w:t>696</w:t>
            </w:r>
          </w:p>
        </w:tc>
        <w:tc>
          <w:tcPr>
            <w:tcW w:w="1514" w:type="dxa"/>
          </w:tcPr>
          <w:p w14:paraId="447DAE51" w14:textId="77777777" w:rsidR="00B02B23" w:rsidRDefault="00B02B23" w:rsidP="00A32C99">
            <w:pPr>
              <w:jc w:val="center"/>
              <w:rPr>
                <w:color w:val="000000" w:themeColor="text1"/>
              </w:rPr>
            </w:pPr>
            <w:r>
              <w:rPr>
                <w:color w:val="000000" w:themeColor="text1"/>
              </w:rPr>
              <w:t>383</w:t>
            </w:r>
          </w:p>
        </w:tc>
      </w:tr>
      <w:tr w:rsidR="00B02B23" w:rsidRPr="000742B2" w14:paraId="55BE0D3C" w14:textId="77777777" w:rsidTr="00A32C99">
        <w:trPr>
          <w:trHeight w:val="1262"/>
          <w:jc w:val="center"/>
        </w:trPr>
        <w:tc>
          <w:tcPr>
            <w:tcW w:w="1513" w:type="dxa"/>
          </w:tcPr>
          <w:p w14:paraId="09587AD6" w14:textId="77777777" w:rsidR="00B02B23" w:rsidRPr="0040373A" w:rsidRDefault="00B02B23" w:rsidP="00A32C99">
            <w:pPr>
              <w:rPr>
                <w:color w:val="000000" w:themeColor="text1"/>
                <w:sz w:val="22"/>
                <w:szCs w:val="22"/>
              </w:rPr>
            </w:pPr>
            <w:r w:rsidRPr="0040373A">
              <w:rPr>
                <w:color w:val="000000" w:themeColor="text1"/>
                <w:sz w:val="22"/>
                <w:szCs w:val="22"/>
              </w:rPr>
              <w:t>Day Cases</w:t>
            </w:r>
          </w:p>
        </w:tc>
        <w:tc>
          <w:tcPr>
            <w:tcW w:w="1514" w:type="dxa"/>
          </w:tcPr>
          <w:p w14:paraId="226D2A07" w14:textId="77777777" w:rsidR="00B02B23" w:rsidRPr="000742B2" w:rsidRDefault="00B02B23" w:rsidP="00A32C99">
            <w:pPr>
              <w:jc w:val="center"/>
              <w:rPr>
                <w:color w:val="000000" w:themeColor="text1"/>
              </w:rPr>
            </w:pPr>
            <w:r>
              <w:rPr>
                <w:color w:val="000000" w:themeColor="text1"/>
              </w:rPr>
              <w:t>4047</w:t>
            </w:r>
          </w:p>
        </w:tc>
        <w:tc>
          <w:tcPr>
            <w:tcW w:w="1513" w:type="dxa"/>
          </w:tcPr>
          <w:p w14:paraId="50F2108E" w14:textId="77777777" w:rsidR="00B02B23" w:rsidRPr="000742B2" w:rsidRDefault="00B02B23" w:rsidP="00A32C99">
            <w:pPr>
              <w:jc w:val="center"/>
              <w:rPr>
                <w:color w:val="000000" w:themeColor="text1"/>
              </w:rPr>
            </w:pPr>
            <w:r>
              <w:rPr>
                <w:color w:val="000000" w:themeColor="text1"/>
              </w:rPr>
              <w:t>4741</w:t>
            </w:r>
          </w:p>
        </w:tc>
        <w:tc>
          <w:tcPr>
            <w:tcW w:w="1514" w:type="dxa"/>
          </w:tcPr>
          <w:p w14:paraId="7171F265" w14:textId="77777777" w:rsidR="00B02B23" w:rsidRPr="000742B2" w:rsidRDefault="00B02B23" w:rsidP="00A32C99">
            <w:pPr>
              <w:jc w:val="center"/>
              <w:rPr>
                <w:color w:val="000000" w:themeColor="text1"/>
              </w:rPr>
            </w:pPr>
            <w:r>
              <w:rPr>
                <w:color w:val="000000" w:themeColor="text1"/>
              </w:rPr>
              <w:t>4928</w:t>
            </w:r>
          </w:p>
        </w:tc>
        <w:tc>
          <w:tcPr>
            <w:tcW w:w="1513" w:type="dxa"/>
          </w:tcPr>
          <w:p w14:paraId="3B6D1297" w14:textId="77777777" w:rsidR="00B02B23" w:rsidRDefault="00B02B23" w:rsidP="00A32C99">
            <w:pPr>
              <w:jc w:val="center"/>
              <w:rPr>
                <w:color w:val="000000" w:themeColor="text1"/>
              </w:rPr>
            </w:pPr>
            <w:r>
              <w:rPr>
                <w:color w:val="000000" w:themeColor="text1"/>
              </w:rPr>
              <w:t>5642</w:t>
            </w:r>
          </w:p>
        </w:tc>
        <w:tc>
          <w:tcPr>
            <w:tcW w:w="1514" w:type="dxa"/>
          </w:tcPr>
          <w:p w14:paraId="626EF51C" w14:textId="77777777" w:rsidR="00B02B23" w:rsidRDefault="00B02B23" w:rsidP="00A32C99">
            <w:pPr>
              <w:jc w:val="center"/>
              <w:rPr>
                <w:color w:val="000000" w:themeColor="text1"/>
              </w:rPr>
            </w:pPr>
            <w:r>
              <w:rPr>
                <w:color w:val="000000" w:themeColor="text1"/>
              </w:rPr>
              <w:t>4074</w:t>
            </w:r>
          </w:p>
        </w:tc>
      </w:tr>
      <w:tr w:rsidR="00B02B23" w:rsidRPr="000742B2" w14:paraId="663A326B" w14:textId="77777777" w:rsidTr="00A32C99">
        <w:trPr>
          <w:trHeight w:val="1262"/>
          <w:jc w:val="center"/>
        </w:trPr>
        <w:tc>
          <w:tcPr>
            <w:tcW w:w="1513" w:type="dxa"/>
          </w:tcPr>
          <w:p w14:paraId="770E9D5F" w14:textId="77777777" w:rsidR="00B02B23" w:rsidRPr="0040373A" w:rsidRDefault="00B02B23" w:rsidP="00A32C99">
            <w:pPr>
              <w:rPr>
                <w:color w:val="000000" w:themeColor="text1"/>
                <w:sz w:val="22"/>
                <w:szCs w:val="22"/>
              </w:rPr>
            </w:pPr>
            <w:r w:rsidRPr="0040373A">
              <w:rPr>
                <w:color w:val="000000" w:themeColor="text1"/>
                <w:sz w:val="22"/>
                <w:szCs w:val="22"/>
              </w:rPr>
              <w:t>Inpatients</w:t>
            </w:r>
          </w:p>
        </w:tc>
        <w:tc>
          <w:tcPr>
            <w:tcW w:w="1514" w:type="dxa"/>
          </w:tcPr>
          <w:p w14:paraId="06B838E8" w14:textId="77777777" w:rsidR="00B02B23" w:rsidRPr="000742B2" w:rsidRDefault="00B02B23" w:rsidP="00A32C99">
            <w:pPr>
              <w:jc w:val="center"/>
              <w:rPr>
                <w:color w:val="000000" w:themeColor="text1"/>
              </w:rPr>
            </w:pPr>
            <w:r>
              <w:rPr>
                <w:color w:val="000000" w:themeColor="text1"/>
              </w:rPr>
              <w:t>263</w:t>
            </w:r>
          </w:p>
        </w:tc>
        <w:tc>
          <w:tcPr>
            <w:tcW w:w="1513" w:type="dxa"/>
          </w:tcPr>
          <w:p w14:paraId="646BC544" w14:textId="77777777" w:rsidR="00B02B23" w:rsidRPr="000742B2" w:rsidRDefault="00B02B23" w:rsidP="00A32C99">
            <w:pPr>
              <w:jc w:val="center"/>
              <w:rPr>
                <w:color w:val="000000" w:themeColor="text1"/>
              </w:rPr>
            </w:pPr>
            <w:r>
              <w:rPr>
                <w:color w:val="000000" w:themeColor="text1"/>
              </w:rPr>
              <w:t>155</w:t>
            </w:r>
          </w:p>
        </w:tc>
        <w:tc>
          <w:tcPr>
            <w:tcW w:w="1514" w:type="dxa"/>
          </w:tcPr>
          <w:p w14:paraId="157BA942" w14:textId="77777777" w:rsidR="00B02B23" w:rsidRPr="000742B2" w:rsidRDefault="00B02B23" w:rsidP="00A32C99">
            <w:pPr>
              <w:jc w:val="center"/>
              <w:rPr>
                <w:color w:val="000000" w:themeColor="text1"/>
              </w:rPr>
            </w:pPr>
            <w:r>
              <w:rPr>
                <w:color w:val="000000" w:themeColor="text1"/>
              </w:rPr>
              <w:t>197</w:t>
            </w:r>
          </w:p>
        </w:tc>
        <w:tc>
          <w:tcPr>
            <w:tcW w:w="1513" w:type="dxa"/>
          </w:tcPr>
          <w:p w14:paraId="4418FD80" w14:textId="77777777" w:rsidR="00B02B23" w:rsidRDefault="00B02B23" w:rsidP="00A32C99">
            <w:pPr>
              <w:jc w:val="center"/>
              <w:rPr>
                <w:color w:val="000000" w:themeColor="text1"/>
              </w:rPr>
            </w:pPr>
            <w:r>
              <w:rPr>
                <w:color w:val="000000" w:themeColor="text1"/>
              </w:rPr>
              <w:t>129</w:t>
            </w:r>
          </w:p>
        </w:tc>
        <w:tc>
          <w:tcPr>
            <w:tcW w:w="1514" w:type="dxa"/>
          </w:tcPr>
          <w:p w14:paraId="0DC1FE01" w14:textId="77777777" w:rsidR="00B02B23" w:rsidRDefault="00B02B23" w:rsidP="00A32C99">
            <w:pPr>
              <w:jc w:val="center"/>
              <w:rPr>
                <w:color w:val="000000" w:themeColor="text1"/>
              </w:rPr>
            </w:pPr>
            <w:r>
              <w:rPr>
                <w:color w:val="000000" w:themeColor="text1"/>
              </w:rPr>
              <w:t>82</w:t>
            </w:r>
          </w:p>
        </w:tc>
      </w:tr>
    </w:tbl>
    <w:p w14:paraId="61AD2CB4" w14:textId="77777777" w:rsidR="00B02B23" w:rsidRPr="006F3231" w:rsidRDefault="00B02B23" w:rsidP="00B02B23">
      <w:pPr>
        <w:rPr>
          <w:u w:val="single"/>
        </w:rPr>
      </w:pPr>
    </w:p>
    <w:p w14:paraId="4B98DC91" w14:textId="77777777" w:rsidR="00B02B23" w:rsidRDefault="00B02B23" w:rsidP="00B02B23">
      <w:r>
        <w:t xml:space="preserve">Laboratory </w:t>
      </w:r>
      <w:r w:rsidRPr="00A569AC">
        <w:t>Haematology and Blood Transfusion are part of the Women, Children and Diagnostics</w:t>
      </w:r>
      <w:r>
        <w:t xml:space="preserve"> </w:t>
      </w:r>
      <w:r w:rsidRPr="00A569AC">
        <w:t xml:space="preserve">Directorate and the laboratory budget is managed by them. </w:t>
      </w:r>
    </w:p>
    <w:p w14:paraId="42528516" w14:textId="77777777" w:rsidR="00B02B23" w:rsidRDefault="00B02B23" w:rsidP="00B02B23"/>
    <w:p w14:paraId="2E09171B" w14:textId="77777777" w:rsidR="000742B2" w:rsidRDefault="000742B2"/>
    <w:p w14:paraId="2DC828E6" w14:textId="77777777" w:rsidR="00175CA5" w:rsidRDefault="00175CA5"/>
    <w:p w14:paraId="72D5BAF8" w14:textId="77777777" w:rsidR="003B1EF4" w:rsidRDefault="00175CA5">
      <w:r>
        <w:rPr>
          <w:noProof/>
          <w:lang w:eastAsia="en-GB"/>
        </w:rPr>
        <w:drawing>
          <wp:inline distT="0" distB="0" distL="0" distR="0" wp14:anchorId="54B35D63" wp14:editId="001282A0">
            <wp:extent cx="5724525" cy="581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24525" cy="581025"/>
                    </a:xfrm>
                    <a:prstGeom prst="rect">
                      <a:avLst/>
                    </a:prstGeom>
                    <a:noFill/>
                    <a:ln w="9525">
                      <a:noFill/>
                      <a:miter lim="800000"/>
                      <a:headEnd/>
                      <a:tailEnd/>
                    </a:ln>
                  </pic:spPr>
                </pic:pic>
              </a:graphicData>
            </a:graphic>
          </wp:inline>
        </w:drawing>
      </w:r>
    </w:p>
    <w:p w14:paraId="0C72BDDF" w14:textId="77777777" w:rsidR="003B1EF4" w:rsidRDefault="003B1EF4"/>
    <w:p w14:paraId="28EADE91" w14:textId="77777777" w:rsidR="00175CA5" w:rsidRDefault="00175CA5" w:rsidP="00175CA5">
      <w:pPr>
        <w:jc w:val="both"/>
      </w:pPr>
    </w:p>
    <w:p w14:paraId="7D9C31B8" w14:textId="77777777" w:rsidR="00B02B23" w:rsidRDefault="00B02B23" w:rsidP="00B02B23">
      <w:r>
        <w:t xml:space="preserve">The Haematology Department is a participant in a wider review of Chemotherapy Services within the West of Scotland Cancer Network. The Health Board has approved a WoSCAN review recommendation to reorganise chemotherapy services such that there will be one primary site for chemotherapy prescribing, complex chemotherapy delivery and inpatient Haematology inpatient services, while at least one other site will provide low risk day case SACT delivery. The specific configuration of the future service is still to be confirmed, but work is in progress to take this forward. This reorganisation is an excellent opportunity to develop a suite of inpatient and day-case facilities to match ongoing developments in the safe and </w:t>
      </w:r>
      <w:r>
        <w:lastRenderedPageBreak/>
        <w:t>effective delivery of chemotherapy. The department has pioneered online methods for pre-chemotherapy clinical assessment within Haematology with plans to extend this to other tumour types.</w:t>
      </w:r>
    </w:p>
    <w:p w14:paraId="23990682" w14:textId="77777777" w:rsidR="005605D9" w:rsidRDefault="005605D9"/>
    <w:p w14:paraId="409B7248" w14:textId="77777777" w:rsidR="005605D9" w:rsidRDefault="005605D9"/>
    <w:p w14:paraId="3F6CDD58" w14:textId="77777777" w:rsidR="003B1EF4" w:rsidRDefault="00175CA5">
      <w:r>
        <w:rPr>
          <w:noProof/>
          <w:lang w:eastAsia="en-GB"/>
        </w:rPr>
        <w:drawing>
          <wp:inline distT="0" distB="0" distL="0" distR="0" wp14:anchorId="6129D790" wp14:editId="1D3FAC4C">
            <wp:extent cx="5734050" cy="96202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14:paraId="3C964EC2" w14:textId="48B3AE72" w:rsidR="00654F01" w:rsidRDefault="00654F01" w:rsidP="00550403">
      <w:pPr>
        <w:pStyle w:val="Heading1"/>
        <w:rPr>
          <w:rFonts w:ascii="Arial" w:hAnsi="Arial"/>
          <w:color w:val="auto"/>
          <w:sz w:val="24"/>
          <w:szCs w:val="24"/>
        </w:rPr>
      </w:pPr>
      <w:r>
        <w:rPr>
          <w:rFonts w:ascii="Arial" w:hAnsi="Arial"/>
          <w:color w:val="auto"/>
          <w:sz w:val="24"/>
          <w:szCs w:val="24"/>
        </w:rPr>
        <w:t>Clinical activity within the post</w:t>
      </w:r>
    </w:p>
    <w:p w14:paraId="746766E1" w14:textId="77777777" w:rsidR="00654F01" w:rsidRDefault="00654F01" w:rsidP="00654F01"/>
    <w:p w14:paraId="3038216F" w14:textId="3CBFC3AE" w:rsidR="00654F01" w:rsidRDefault="00654F01" w:rsidP="00654F01">
      <w:r>
        <w:t xml:space="preserve">Clinical duties will include outpatient clinics, on treatment clinics, haematology day unit cover and hospital liaison. The appointee will also be expected to participate in the bone marrow lists on a rotational basis. Training will be given to those not competent in this skill. Some clinical activities may be based at the Kyle Unit Ailsa Hospital, Ayr. This would not be expected to comprise more than 20% of the role. </w:t>
      </w:r>
    </w:p>
    <w:p w14:paraId="4E74477E" w14:textId="000DADBD" w:rsidR="00550403" w:rsidRDefault="00654F01" w:rsidP="00550403">
      <w:pPr>
        <w:pStyle w:val="Heading1"/>
        <w:rPr>
          <w:rFonts w:ascii="Arial" w:hAnsi="Arial"/>
          <w:color w:val="auto"/>
          <w:sz w:val="24"/>
          <w:szCs w:val="24"/>
          <w:u w:val="single"/>
        </w:rPr>
      </w:pPr>
      <w:r>
        <w:rPr>
          <w:rFonts w:ascii="Arial" w:hAnsi="Arial"/>
          <w:color w:val="auto"/>
          <w:sz w:val="24"/>
          <w:szCs w:val="24"/>
        </w:rPr>
        <w:t>P</w:t>
      </w:r>
      <w:r w:rsidR="00550403" w:rsidRPr="00A569AC">
        <w:rPr>
          <w:rFonts w:ascii="Arial" w:hAnsi="Arial"/>
          <w:color w:val="auto"/>
          <w:sz w:val="24"/>
          <w:szCs w:val="24"/>
        </w:rPr>
        <w:t>roposed Weekly Programme</w:t>
      </w:r>
      <w:r w:rsidR="00550403" w:rsidRPr="00A569AC">
        <w:rPr>
          <w:rFonts w:ascii="Arial" w:hAnsi="Arial"/>
          <w:color w:val="auto"/>
          <w:sz w:val="24"/>
          <w:szCs w:val="24"/>
          <w:u w:val="single"/>
        </w:rPr>
        <w:t xml:space="preserve"> </w:t>
      </w:r>
    </w:p>
    <w:p w14:paraId="5DE79466" w14:textId="77777777" w:rsidR="005D3241" w:rsidRDefault="005D3241" w:rsidP="0089363A"/>
    <w:p w14:paraId="1834EEEA" w14:textId="255BEBDB" w:rsidR="005D3241" w:rsidRPr="0089363A" w:rsidRDefault="005D3241" w:rsidP="0089363A">
      <w:r>
        <w:t xml:space="preserve">The job plan </w:t>
      </w:r>
      <w:r w:rsidR="007A186F">
        <w:t>will initially be balanced at 9</w:t>
      </w:r>
      <w:r w:rsidR="00E47E93">
        <w:t xml:space="preserve"> DCC to </w:t>
      </w:r>
      <w:r w:rsidR="007A186F">
        <w:t>1</w:t>
      </w:r>
      <w:r>
        <w:t xml:space="preserve"> SPA</w:t>
      </w:r>
      <w:r w:rsidR="00E47E93">
        <w:t>.</w:t>
      </w:r>
    </w:p>
    <w:p w14:paraId="41BE4307" w14:textId="77777777" w:rsidR="00911056" w:rsidRDefault="00911056" w:rsidP="0089363A"/>
    <w:p w14:paraId="00C45AB8" w14:textId="77777777" w:rsidR="005605D9" w:rsidRDefault="00E9392F" w:rsidP="0089363A">
      <w:r>
        <w:t xml:space="preserve">As this is a new post the exact job plan will be agreed with the successful candidate. </w:t>
      </w:r>
    </w:p>
    <w:p w14:paraId="26E9B3ED" w14:textId="77777777" w:rsidR="005605D9" w:rsidRDefault="005605D9" w:rsidP="0089363A"/>
    <w:p w14:paraId="4015D44B" w14:textId="07D8E584" w:rsidR="00E9392F" w:rsidRDefault="00E9392F" w:rsidP="0089363A">
      <w:r>
        <w:t>A 10 PA contract this will approximately equate to the following;</w:t>
      </w:r>
    </w:p>
    <w:p w14:paraId="718DECF5" w14:textId="77777777" w:rsidR="00E9392F" w:rsidRDefault="00E9392F" w:rsidP="0089363A"/>
    <w:p w14:paraId="5F3B7297" w14:textId="49ECAC71" w:rsidR="00E9392F" w:rsidRDefault="00E9392F" w:rsidP="0089363A">
      <w:r>
        <w:t>7 clinical sessions comprising clinics, on treatment clinics, bone marrow biopsy list, day unit cover and hospital liaison</w:t>
      </w:r>
    </w:p>
    <w:p w14:paraId="3952E908" w14:textId="156BAF94" w:rsidR="00E9392F" w:rsidRDefault="00E9392F" w:rsidP="0089363A">
      <w:r>
        <w:t>1 session for MDT</w:t>
      </w:r>
    </w:p>
    <w:p w14:paraId="5CA5DBDD" w14:textId="6792F938" w:rsidR="00E9392F" w:rsidRDefault="00E9392F" w:rsidP="0089363A">
      <w:r>
        <w:t>1 clinical administration</w:t>
      </w:r>
    </w:p>
    <w:p w14:paraId="61F0A265" w14:textId="0C6FD534" w:rsidR="00E9392F" w:rsidRDefault="00E9392F" w:rsidP="0089363A">
      <w:r>
        <w:t>1 session for supporting professional activity</w:t>
      </w:r>
    </w:p>
    <w:p w14:paraId="678F8413" w14:textId="77777777" w:rsidR="00E9392F" w:rsidRDefault="00E9392F" w:rsidP="0089363A"/>
    <w:p w14:paraId="22591100" w14:textId="77777777" w:rsidR="00D510E9" w:rsidRDefault="00D510E9" w:rsidP="00E9392F">
      <w:pPr>
        <w:jc w:val="both"/>
      </w:pPr>
    </w:p>
    <w:p w14:paraId="4DEDE2DF" w14:textId="4D8BAA1F" w:rsidR="00D510E9" w:rsidRPr="00B02B23" w:rsidRDefault="00D510E9" w:rsidP="00E9392F">
      <w:pPr>
        <w:jc w:val="both"/>
        <w:rPr>
          <w:b/>
        </w:rPr>
      </w:pPr>
      <w:r w:rsidRPr="00B02B23">
        <w:rPr>
          <w:b/>
        </w:rPr>
        <w:t>Template Job plan</w:t>
      </w:r>
    </w:p>
    <w:p w14:paraId="6301109D" w14:textId="5316E9DD" w:rsidR="00D510E9" w:rsidRDefault="00D510E9" w:rsidP="00E9392F">
      <w:pPr>
        <w:jc w:val="both"/>
      </w:pPr>
    </w:p>
    <w:p w14:paraId="3116AAFD" w14:textId="241B6E90" w:rsidR="00D510E9" w:rsidRDefault="00D510E9" w:rsidP="00E9392F">
      <w:pPr>
        <w:jc w:val="both"/>
      </w:pPr>
      <w:r>
        <w:t xml:space="preserve">Based on Monday to Friday 9-5pm </w:t>
      </w:r>
    </w:p>
    <w:p w14:paraId="5949F478" w14:textId="77777777" w:rsidR="00D510E9" w:rsidRDefault="00D510E9" w:rsidP="00E9392F">
      <w:pPr>
        <w:jc w:val="both"/>
      </w:pPr>
    </w:p>
    <w:tbl>
      <w:tblPr>
        <w:tblStyle w:val="TableGrid"/>
        <w:tblW w:w="0" w:type="auto"/>
        <w:tblLook w:val="04A0" w:firstRow="1" w:lastRow="0" w:firstColumn="1" w:lastColumn="0" w:noHBand="0" w:noVBand="1"/>
      </w:tblPr>
      <w:tblGrid>
        <w:gridCol w:w="3005"/>
        <w:gridCol w:w="3005"/>
        <w:gridCol w:w="3006"/>
      </w:tblGrid>
      <w:tr w:rsidR="00D510E9" w:rsidRPr="00B02B23" w14:paraId="05C118D6" w14:textId="77777777" w:rsidTr="00D510E9">
        <w:tc>
          <w:tcPr>
            <w:tcW w:w="3005" w:type="dxa"/>
          </w:tcPr>
          <w:p w14:paraId="78AB6222" w14:textId="06662475" w:rsidR="00D510E9" w:rsidRPr="00B02B23" w:rsidRDefault="00D510E9" w:rsidP="00E9392F">
            <w:pPr>
              <w:jc w:val="both"/>
              <w:rPr>
                <w:rFonts w:ascii="Arial" w:hAnsi="Arial" w:cs="Arial"/>
                <w:b/>
              </w:rPr>
            </w:pPr>
            <w:r w:rsidRPr="00B02B23">
              <w:rPr>
                <w:rFonts w:ascii="Arial" w:hAnsi="Arial" w:cs="Arial"/>
                <w:b/>
              </w:rPr>
              <w:t>Day</w:t>
            </w:r>
          </w:p>
        </w:tc>
        <w:tc>
          <w:tcPr>
            <w:tcW w:w="3005" w:type="dxa"/>
          </w:tcPr>
          <w:p w14:paraId="61E09D7F" w14:textId="179162B7" w:rsidR="00D510E9" w:rsidRPr="00B02B23" w:rsidRDefault="00D510E9" w:rsidP="00E9392F">
            <w:pPr>
              <w:jc w:val="both"/>
              <w:rPr>
                <w:rFonts w:ascii="Arial" w:hAnsi="Arial" w:cs="Arial"/>
                <w:b/>
              </w:rPr>
            </w:pPr>
            <w:r w:rsidRPr="00B02B23">
              <w:rPr>
                <w:rFonts w:ascii="Arial" w:hAnsi="Arial" w:cs="Arial"/>
                <w:b/>
              </w:rPr>
              <w:t>AM</w:t>
            </w:r>
          </w:p>
        </w:tc>
        <w:tc>
          <w:tcPr>
            <w:tcW w:w="3006" w:type="dxa"/>
          </w:tcPr>
          <w:p w14:paraId="010707C1" w14:textId="3F84C186" w:rsidR="00D510E9" w:rsidRPr="00B02B23" w:rsidRDefault="00D510E9" w:rsidP="00E9392F">
            <w:pPr>
              <w:jc w:val="both"/>
              <w:rPr>
                <w:rFonts w:ascii="Arial" w:hAnsi="Arial" w:cs="Arial"/>
                <w:b/>
              </w:rPr>
            </w:pPr>
            <w:r w:rsidRPr="00B02B23">
              <w:rPr>
                <w:rFonts w:ascii="Arial" w:hAnsi="Arial" w:cs="Arial"/>
                <w:b/>
              </w:rPr>
              <w:t>PM</w:t>
            </w:r>
          </w:p>
        </w:tc>
      </w:tr>
      <w:tr w:rsidR="00D510E9" w:rsidRPr="00B02B23" w14:paraId="3313E102" w14:textId="77777777" w:rsidTr="00D510E9">
        <w:tc>
          <w:tcPr>
            <w:tcW w:w="3005" w:type="dxa"/>
          </w:tcPr>
          <w:p w14:paraId="677D5824" w14:textId="4B3E1916" w:rsidR="00D510E9" w:rsidRPr="00B02B23" w:rsidRDefault="00D510E9" w:rsidP="00E9392F">
            <w:pPr>
              <w:jc w:val="both"/>
              <w:rPr>
                <w:rFonts w:ascii="Arial" w:hAnsi="Arial" w:cs="Arial"/>
              </w:rPr>
            </w:pPr>
            <w:r w:rsidRPr="00B02B23">
              <w:rPr>
                <w:rFonts w:ascii="Arial" w:hAnsi="Arial" w:cs="Arial"/>
              </w:rPr>
              <w:t>Monday</w:t>
            </w:r>
          </w:p>
        </w:tc>
        <w:tc>
          <w:tcPr>
            <w:tcW w:w="3005" w:type="dxa"/>
          </w:tcPr>
          <w:p w14:paraId="4EAB4C6C" w14:textId="5CA26839" w:rsidR="00D510E9" w:rsidRPr="00B02B23" w:rsidRDefault="00D510E9" w:rsidP="00E9392F">
            <w:pPr>
              <w:jc w:val="both"/>
              <w:rPr>
                <w:rFonts w:ascii="Arial" w:hAnsi="Arial" w:cs="Arial"/>
              </w:rPr>
            </w:pPr>
            <w:r w:rsidRPr="00B02B23">
              <w:rPr>
                <w:rFonts w:ascii="Arial" w:hAnsi="Arial" w:cs="Arial"/>
              </w:rPr>
              <w:t>Admin</w:t>
            </w:r>
          </w:p>
        </w:tc>
        <w:tc>
          <w:tcPr>
            <w:tcW w:w="3006" w:type="dxa"/>
          </w:tcPr>
          <w:p w14:paraId="1C9FA1EE" w14:textId="0D69F755" w:rsidR="00D510E9" w:rsidRPr="00B02B23" w:rsidRDefault="00802653" w:rsidP="00E9392F">
            <w:pPr>
              <w:jc w:val="both"/>
              <w:rPr>
                <w:rFonts w:ascii="Arial" w:hAnsi="Arial" w:cs="Arial"/>
              </w:rPr>
            </w:pPr>
            <w:r w:rsidRPr="00B02B23">
              <w:rPr>
                <w:rFonts w:ascii="Arial" w:hAnsi="Arial" w:cs="Arial"/>
              </w:rPr>
              <w:t>Clinical duty</w:t>
            </w:r>
          </w:p>
        </w:tc>
      </w:tr>
      <w:tr w:rsidR="00D510E9" w:rsidRPr="00B02B23" w14:paraId="46F87015" w14:textId="77777777" w:rsidTr="00D510E9">
        <w:tc>
          <w:tcPr>
            <w:tcW w:w="3005" w:type="dxa"/>
          </w:tcPr>
          <w:p w14:paraId="5BE2732D" w14:textId="6A513CF1" w:rsidR="00D510E9" w:rsidRPr="00B02B23" w:rsidRDefault="00D510E9" w:rsidP="00E9392F">
            <w:pPr>
              <w:jc w:val="both"/>
              <w:rPr>
                <w:rFonts w:ascii="Arial" w:hAnsi="Arial" w:cs="Arial"/>
              </w:rPr>
            </w:pPr>
            <w:r w:rsidRPr="00B02B23">
              <w:rPr>
                <w:rFonts w:ascii="Arial" w:hAnsi="Arial" w:cs="Arial"/>
              </w:rPr>
              <w:t>Tuesday</w:t>
            </w:r>
          </w:p>
        </w:tc>
        <w:tc>
          <w:tcPr>
            <w:tcW w:w="3005" w:type="dxa"/>
          </w:tcPr>
          <w:p w14:paraId="19697BD8" w14:textId="1B8311E5" w:rsidR="00D510E9" w:rsidRPr="00B02B23" w:rsidRDefault="00D510E9" w:rsidP="00E9392F">
            <w:pPr>
              <w:jc w:val="both"/>
              <w:rPr>
                <w:rFonts w:ascii="Arial" w:hAnsi="Arial" w:cs="Arial"/>
              </w:rPr>
            </w:pPr>
            <w:r w:rsidRPr="00B02B23">
              <w:rPr>
                <w:rFonts w:ascii="Arial" w:hAnsi="Arial" w:cs="Arial"/>
              </w:rPr>
              <w:t>MDT</w:t>
            </w:r>
          </w:p>
        </w:tc>
        <w:tc>
          <w:tcPr>
            <w:tcW w:w="3006" w:type="dxa"/>
          </w:tcPr>
          <w:p w14:paraId="7EC0D6AC" w14:textId="0F1173E6" w:rsidR="00D510E9" w:rsidRPr="00B02B23" w:rsidRDefault="00802653" w:rsidP="00E9392F">
            <w:pPr>
              <w:jc w:val="both"/>
              <w:rPr>
                <w:rFonts w:ascii="Arial" w:hAnsi="Arial" w:cs="Arial"/>
              </w:rPr>
            </w:pPr>
            <w:r w:rsidRPr="00B02B23">
              <w:rPr>
                <w:rFonts w:ascii="Arial" w:hAnsi="Arial" w:cs="Arial"/>
              </w:rPr>
              <w:t>Clinical duty</w:t>
            </w:r>
          </w:p>
        </w:tc>
      </w:tr>
      <w:tr w:rsidR="00D510E9" w:rsidRPr="00B02B23" w14:paraId="5DD417EA" w14:textId="77777777" w:rsidTr="00D510E9">
        <w:tc>
          <w:tcPr>
            <w:tcW w:w="3005" w:type="dxa"/>
          </w:tcPr>
          <w:p w14:paraId="43F0A92D" w14:textId="77F7CC8A" w:rsidR="00D510E9" w:rsidRPr="00B02B23" w:rsidRDefault="00D510E9" w:rsidP="00E9392F">
            <w:pPr>
              <w:jc w:val="both"/>
              <w:rPr>
                <w:rFonts w:ascii="Arial" w:hAnsi="Arial" w:cs="Arial"/>
              </w:rPr>
            </w:pPr>
            <w:r w:rsidRPr="00B02B23">
              <w:rPr>
                <w:rFonts w:ascii="Arial" w:hAnsi="Arial" w:cs="Arial"/>
              </w:rPr>
              <w:t>Wednesday</w:t>
            </w:r>
          </w:p>
        </w:tc>
        <w:tc>
          <w:tcPr>
            <w:tcW w:w="3005" w:type="dxa"/>
          </w:tcPr>
          <w:p w14:paraId="0296EB22" w14:textId="7AD91580" w:rsidR="00D510E9" w:rsidRPr="00B02B23" w:rsidRDefault="00802653" w:rsidP="00E9392F">
            <w:pPr>
              <w:jc w:val="both"/>
              <w:rPr>
                <w:rFonts w:ascii="Arial" w:hAnsi="Arial" w:cs="Arial"/>
              </w:rPr>
            </w:pPr>
            <w:r w:rsidRPr="00B02B23">
              <w:rPr>
                <w:rFonts w:ascii="Arial" w:hAnsi="Arial" w:cs="Arial"/>
              </w:rPr>
              <w:t>Clinical duty</w:t>
            </w:r>
          </w:p>
        </w:tc>
        <w:tc>
          <w:tcPr>
            <w:tcW w:w="3006" w:type="dxa"/>
          </w:tcPr>
          <w:p w14:paraId="72C72B46" w14:textId="3FB26EDF" w:rsidR="00D510E9" w:rsidRPr="00B02B23" w:rsidRDefault="00802653" w:rsidP="00E9392F">
            <w:pPr>
              <w:jc w:val="both"/>
              <w:rPr>
                <w:rFonts w:ascii="Arial" w:hAnsi="Arial" w:cs="Arial"/>
              </w:rPr>
            </w:pPr>
            <w:r w:rsidRPr="00B02B23">
              <w:rPr>
                <w:rFonts w:ascii="Arial" w:hAnsi="Arial" w:cs="Arial"/>
              </w:rPr>
              <w:t>Clinical duty</w:t>
            </w:r>
          </w:p>
        </w:tc>
      </w:tr>
      <w:tr w:rsidR="00D510E9" w:rsidRPr="00B02B23" w14:paraId="7D805B29" w14:textId="77777777" w:rsidTr="00D510E9">
        <w:tc>
          <w:tcPr>
            <w:tcW w:w="3005" w:type="dxa"/>
          </w:tcPr>
          <w:p w14:paraId="2CA643C0" w14:textId="4A753819" w:rsidR="00D510E9" w:rsidRPr="00B02B23" w:rsidRDefault="00D510E9" w:rsidP="00E9392F">
            <w:pPr>
              <w:jc w:val="both"/>
              <w:rPr>
                <w:rFonts w:ascii="Arial" w:hAnsi="Arial" w:cs="Arial"/>
              </w:rPr>
            </w:pPr>
            <w:r w:rsidRPr="00B02B23">
              <w:rPr>
                <w:rFonts w:ascii="Arial" w:hAnsi="Arial" w:cs="Arial"/>
              </w:rPr>
              <w:t>Thursday</w:t>
            </w:r>
          </w:p>
        </w:tc>
        <w:tc>
          <w:tcPr>
            <w:tcW w:w="3005" w:type="dxa"/>
          </w:tcPr>
          <w:p w14:paraId="0181EB21" w14:textId="61548A65" w:rsidR="00D510E9" w:rsidRPr="00B02B23" w:rsidRDefault="00802653" w:rsidP="00E9392F">
            <w:pPr>
              <w:jc w:val="both"/>
              <w:rPr>
                <w:rFonts w:ascii="Arial" w:hAnsi="Arial" w:cs="Arial"/>
              </w:rPr>
            </w:pPr>
            <w:r w:rsidRPr="00B02B23">
              <w:rPr>
                <w:rFonts w:ascii="Arial" w:hAnsi="Arial" w:cs="Arial"/>
              </w:rPr>
              <w:t>Clinical duty</w:t>
            </w:r>
          </w:p>
        </w:tc>
        <w:tc>
          <w:tcPr>
            <w:tcW w:w="3006" w:type="dxa"/>
          </w:tcPr>
          <w:p w14:paraId="70260450" w14:textId="2E01E997" w:rsidR="00D510E9" w:rsidRPr="00B02B23" w:rsidRDefault="00802653" w:rsidP="00E9392F">
            <w:pPr>
              <w:jc w:val="both"/>
              <w:rPr>
                <w:rFonts w:ascii="Arial" w:hAnsi="Arial" w:cs="Arial"/>
              </w:rPr>
            </w:pPr>
            <w:r w:rsidRPr="00B02B23">
              <w:rPr>
                <w:rFonts w:ascii="Arial" w:hAnsi="Arial" w:cs="Arial"/>
              </w:rPr>
              <w:t>Clinical duty</w:t>
            </w:r>
          </w:p>
        </w:tc>
      </w:tr>
      <w:tr w:rsidR="00D510E9" w:rsidRPr="00B02B23" w14:paraId="35199E7A" w14:textId="77777777" w:rsidTr="00D510E9">
        <w:tc>
          <w:tcPr>
            <w:tcW w:w="3005" w:type="dxa"/>
          </w:tcPr>
          <w:p w14:paraId="40362111" w14:textId="2D457522" w:rsidR="00D510E9" w:rsidRPr="00B02B23" w:rsidRDefault="00D510E9" w:rsidP="00E9392F">
            <w:pPr>
              <w:jc w:val="both"/>
              <w:rPr>
                <w:rFonts w:ascii="Arial" w:hAnsi="Arial" w:cs="Arial"/>
              </w:rPr>
            </w:pPr>
            <w:r w:rsidRPr="00B02B23">
              <w:rPr>
                <w:rFonts w:ascii="Arial" w:hAnsi="Arial" w:cs="Arial"/>
              </w:rPr>
              <w:t>Friday</w:t>
            </w:r>
          </w:p>
        </w:tc>
        <w:tc>
          <w:tcPr>
            <w:tcW w:w="3005" w:type="dxa"/>
          </w:tcPr>
          <w:p w14:paraId="779F55AD" w14:textId="4ECF0AB6" w:rsidR="00D510E9" w:rsidRPr="00B02B23" w:rsidRDefault="00802653" w:rsidP="00E9392F">
            <w:pPr>
              <w:jc w:val="both"/>
              <w:rPr>
                <w:rFonts w:ascii="Arial" w:hAnsi="Arial" w:cs="Arial"/>
              </w:rPr>
            </w:pPr>
            <w:r w:rsidRPr="00B02B23">
              <w:rPr>
                <w:rFonts w:ascii="Arial" w:hAnsi="Arial" w:cs="Arial"/>
              </w:rPr>
              <w:t>Clinical duty</w:t>
            </w:r>
          </w:p>
        </w:tc>
        <w:tc>
          <w:tcPr>
            <w:tcW w:w="3006" w:type="dxa"/>
          </w:tcPr>
          <w:p w14:paraId="36A6B925" w14:textId="29DA0EC3" w:rsidR="00D510E9" w:rsidRPr="00B02B23" w:rsidRDefault="00D510E9" w:rsidP="00E9392F">
            <w:pPr>
              <w:jc w:val="both"/>
              <w:rPr>
                <w:rFonts w:ascii="Arial" w:hAnsi="Arial" w:cs="Arial"/>
              </w:rPr>
            </w:pPr>
            <w:r w:rsidRPr="00B02B23">
              <w:rPr>
                <w:rFonts w:ascii="Arial" w:hAnsi="Arial" w:cs="Arial"/>
              </w:rPr>
              <w:t>SPA</w:t>
            </w:r>
          </w:p>
        </w:tc>
      </w:tr>
    </w:tbl>
    <w:p w14:paraId="4D22BAF5" w14:textId="77777777" w:rsidR="00D510E9" w:rsidRDefault="00D510E9" w:rsidP="00E9392F">
      <w:pPr>
        <w:jc w:val="both"/>
      </w:pPr>
    </w:p>
    <w:p w14:paraId="3A2575DB" w14:textId="77777777" w:rsidR="00D510E9" w:rsidRDefault="00D510E9" w:rsidP="00E9392F">
      <w:pPr>
        <w:jc w:val="both"/>
      </w:pPr>
    </w:p>
    <w:p w14:paraId="21CBAF3A" w14:textId="77777777" w:rsidR="00E9392F" w:rsidRPr="00022338" w:rsidRDefault="00E9392F" w:rsidP="00E9392F">
      <w:pPr>
        <w:jc w:val="both"/>
      </w:pPr>
      <w:r w:rsidRPr="00022338">
        <w:lastRenderedPageBreak/>
        <w:t>The job plan will be reviewed with the successful candidate no later than 3 months following appointment and where possible discussion may take place in advance of appointment.  Job plan review thereafter will be no less frequent than annually.</w:t>
      </w:r>
    </w:p>
    <w:p w14:paraId="07CAA95E" w14:textId="1BDE0501" w:rsidR="00E9392F" w:rsidRPr="0089363A" w:rsidRDefault="00E9392F" w:rsidP="0089363A">
      <w:r w:rsidRPr="00022338">
        <w:t xml:space="preserve">The agreed job plan will include all the appointee’s professional duties and commitments, including agreed Supporting Professional Activity.  </w:t>
      </w:r>
    </w:p>
    <w:p w14:paraId="0F3D2BC6" w14:textId="77777777" w:rsidR="00EA5E50" w:rsidRDefault="00EA5E50" w:rsidP="00550403"/>
    <w:p w14:paraId="357CE911" w14:textId="77777777" w:rsidR="00802653" w:rsidRDefault="00802653" w:rsidP="00550403"/>
    <w:p w14:paraId="24D0486F" w14:textId="77777777" w:rsidR="00802653" w:rsidRPr="00802653" w:rsidRDefault="00802653" w:rsidP="00802653">
      <w:pPr>
        <w:rPr>
          <w:b/>
          <w:u w:val="single"/>
        </w:rPr>
      </w:pPr>
      <w:r w:rsidRPr="00802653">
        <w:rPr>
          <w:b/>
        </w:rPr>
        <w:t>Notes on the Programme</w:t>
      </w:r>
    </w:p>
    <w:p w14:paraId="657798C6" w14:textId="77777777" w:rsidR="00802653" w:rsidRPr="00802653" w:rsidRDefault="00802653" w:rsidP="00802653"/>
    <w:p w14:paraId="382CC497" w14:textId="77777777" w:rsidR="00802653" w:rsidRPr="00802653" w:rsidRDefault="00802653" w:rsidP="00802653">
      <w:r w:rsidRPr="00802653">
        <w:rPr>
          <w:b/>
        </w:rPr>
        <w:t>Patient Administration</w:t>
      </w:r>
      <w:r w:rsidRPr="00802653">
        <w:t xml:space="preserve">.  This activity covers the management of individual patients including Out Patient administration, results reporting, letters/phone calls to patients, carers, GP’S and members of the wider multidisciplinary team involved in the patients care.  </w:t>
      </w:r>
    </w:p>
    <w:p w14:paraId="287E9479" w14:textId="77777777" w:rsidR="00802653" w:rsidRPr="00802653" w:rsidRDefault="00802653" w:rsidP="00802653"/>
    <w:p w14:paraId="6B820E1B" w14:textId="77777777" w:rsidR="00802653" w:rsidRPr="00802653" w:rsidRDefault="00802653" w:rsidP="00802653">
      <w:r w:rsidRPr="00802653">
        <w:rPr>
          <w:b/>
        </w:rPr>
        <w:t>Travel:</w:t>
      </w:r>
      <w:r w:rsidRPr="00802653">
        <w:t xml:space="preserve">  Any travel allocation will be included within the Total Programmed Activities and will be determined by location at which Direct Clinical Care and Supporting Professional activities are carried out. </w:t>
      </w:r>
    </w:p>
    <w:p w14:paraId="776418DE" w14:textId="77777777" w:rsidR="00802653" w:rsidRPr="00802653" w:rsidRDefault="00802653" w:rsidP="00802653"/>
    <w:p w14:paraId="6E184EAE" w14:textId="4F54DE55" w:rsidR="00802653" w:rsidRPr="00802653" w:rsidRDefault="00802653" w:rsidP="00802653">
      <w:r w:rsidRPr="00802653">
        <w:rPr>
          <w:b/>
        </w:rPr>
        <w:t>Supporting Professional Activities</w:t>
      </w:r>
      <w:r w:rsidRPr="00802653">
        <w:t xml:space="preserve">: NHS Ayrshire and Arran recognise the important role Job Planning has in ensuring </w:t>
      </w:r>
      <w:r w:rsidR="005605D9">
        <w:t>doctors</w:t>
      </w:r>
      <w:r w:rsidRPr="00802653">
        <w:t xml:space="preserve"> are supported in delivering high quality, safe, sustainable clinical care to patients.  It is therefore important to ensure there is an adequate balance between direct clinical care activities and activities which support both the personal and professional development of the </w:t>
      </w:r>
      <w:r w:rsidR="005605D9">
        <w:t xml:space="preserve">medical </w:t>
      </w:r>
      <w:r w:rsidRPr="00802653">
        <w:t xml:space="preserve">workforce and facilitates agreed contribution to activities including: </w:t>
      </w:r>
    </w:p>
    <w:p w14:paraId="358F5F39" w14:textId="77777777" w:rsidR="00802653" w:rsidRPr="00802653" w:rsidRDefault="00802653" w:rsidP="00802653"/>
    <w:p w14:paraId="5844EAD7" w14:textId="77777777" w:rsidR="00802653" w:rsidRPr="00802653" w:rsidRDefault="00802653" w:rsidP="00802653">
      <w:pPr>
        <w:numPr>
          <w:ilvl w:val="0"/>
          <w:numId w:val="1"/>
        </w:numPr>
        <w:spacing w:after="200" w:line="276" w:lineRule="auto"/>
        <w:contextualSpacing/>
        <w:rPr>
          <w:rFonts w:eastAsia="Times New Roman" w:cs="Times New Roman"/>
          <w:lang w:eastAsia="en-GB"/>
        </w:rPr>
      </w:pPr>
      <w:r w:rsidRPr="00802653">
        <w:rPr>
          <w:rFonts w:eastAsia="Times New Roman" w:cs="Times New Roman"/>
          <w:lang w:eastAsia="en-GB"/>
        </w:rPr>
        <w:t xml:space="preserve">Under and post graduate teaching/training </w:t>
      </w:r>
    </w:p>
    <w:p w14:paraId="66F231D7" w14:textId="77777777" w:rsidR="00802653" w:rsidRPr="00802653" w:rsidRDefault="00802653" w:rsidP="00802653">
      <w:pPr>
        <w:numPr>
          <w:ilvl w:val="0"/>
          <w:numId w:val="1"/>
        </w:numPr>
        <w:spacing w:after="200" w:line="276" w:lineRule="auto"/>
        <w:contextualSpacing/>
        <w:rPr>
          <w:rFonts w:eastAsia="Times New Roman" w:cs="Times New Roman"/>
          <w:lang w:eastAsia="en-GB"/>
        </w:rPr>
      </w:pPr>
      <w:r w:rsidRPr="00802653">
        <w:rPr>
          <w:rFonts w:eastAsia="Times New Roman" w:cs="Times New Roman"/>
          <w:lang w:eastAsia="en-GB"/>
        </w:rPr>
        <w:t xml:space="preserve">Clinical Governance </w:t>
      </w:r>
    </w:p>
    <w:p w14:paraId="746EE8FB" w14:textId="77777777" w:rsidR="00802653" w:rsidRPr="00802653" w:rsidRDefault="00802653" w:rsidP="00802653">
      <w:pPr>
        <w:numPr>
          <w:ilvl w:val="0"/>
          <w:numId w:val="1"/>
        </w:numPr>
        <w:spacing w:after="200" w:line="276" w:lineRule="auto"/>
        <w:contextualSpacing/>
        <w:rPr>
          <w:rFonts w:eastAsia="Times New Roman" w:cs="Times New Roman"/>
          <w:lang w:eastAsia="en-GB"/>
        </w:rPr>
      </w:pPr>
      <w:r w:rsidRPr="00802653">
        <w:rPr>
          <w:rFonts w:eastAsia="Times New Roman" w:cs="Times New Roman"/>
          <w:lang w:eastAsia="en-GB"/>
        </w:rPr>
        <w:t xml:space="preserve">Quality and Patient Safety </w:t>
      </w:r>
    </w:p>
    <w:p w14:paraId="5DECEA41" w14:textId="77777777" w:rsidR="00802653" w:rsidRPr="00802653" w:rsidRDefault="00802653" w:rsidP="00802653">
      <w:pPr>
        <w:numPr>
          <w:ilvl w:val="0"/>
          <w:numId w:val="1"/>
        </w:numPr>
        <w:spacing w:after="200" w:line="276" w:lineRule="auto"/>
        <w:contextualSpacing/>
        <w:rPr>
          <w:rFonts w:eastAsia="Times New Roman" w:cs="Times New Roman"/>
          <w:lang w:eastAsia="en-GB"/>
        </w:rPr>
      </w:pPr>
      <w:r w:rsidRPr="00802653">
        <w:rPr>
          <w:rFonts w:eastAsia="Times New Roman" w:cs="Times New Roman"/>
          <w:lang w:eastAsia="en-GB"/>
        </w:rPr>
        <w:t xml:space="preserve">Research and Innovation </w:t>
      </w:r>
    </w:p>
    <w:p w14:paraId="64E3B03B" w14:textId="77777777" w:rsidR="00802653" w:rsidRPr="00802653" w:rsidRDefault="00802653" w:rsidP="00802653">
      <w:pPr>
        <w:numPr>
          <w:ilvl w:val="0"/>
          <w:numId w:val="1"/>
        </w:numPr>
        <w:spacing w:after="200" w:line="276" w:lineRule="auto"/>
        <w:contextualSpacing/>
        <w:rPr>
          <w:rFonts w:eastAsia="Times New Roman" w:cs="Times New Roman"/>
          <w:lang w:eastAsia="en-GB"/>
        </w:rPr>
      </w:pPr>
      <w:r w:rsidRPr="00802653">
        <w:rPr>
          <w:rFonts w:eastAsia="Times New Roman" w:cs="Times New Roman"/>
          <w:lang w:eastAsia="en-GB"/>
        </w:rPr>
        <w:t xml:space="preserve">Service management and planning </w:t>
      </w:r>
    </w:p>
    <w:p w14:paraId="0DECA180" w14:textId="77777777" w:rsidR="00802653" w:rsidRPr="00802653" w:rsidRDefault="00802653" w:rsidP="00802653">
      <w:pPr>
        <w:numPr>
          <w:ilvl w:val="0"/>
          <w:numId w:val="1"/>
        </w:numPr>
        <w:spacing w:after="200" w:line="276" w:lineRule="auto"/>
        <w:contextualSpacing/>
        <w:rPr>
          <w:rFonts w:eastAsia="Times New Roman" w:cs="Times New Roman"/>
          <w:lang w:eastAsia="en-GB"/>
        </w:rPr>
      </w:pPr>
      <w:r w:rsidRPr="00802653">
        <w:rPr>
          <w:rFonts w:eastAsia="Times New Roman" w:cs="Times New Roman"/>
          <w:lang w:eastAsia="en-GB"/>
        </w:rPr>
        <w:t xml:space="preserve">Work with professional bodies </w:t>
      </w:r>
    </w:p>
    <w:p w14:paraId="2309A908" w14:textId="77777777" w:rsidR="00802653" w:rsidRDefault="00802653" w:rsidP="00802653"/>
    <w:p w14:paraId="49FC6BB7" w14:textId="77777777" w:rsidR="00802653" w:rsidRPr="00802653" w:rsidRDefault="00802653" w:rsidP="00802653">
      <w:r w:rsidRPr="00802653">
        <w:t xml:space="preserve">All specialty doctors will have 1 SPA as a minimum to support job planning, appraisal and revalidation. However the final balance of SPA and DCC activity will be agreed between the appointee and clinical manager prior to contracts being agreed.  </w:t>
      </w:r>
    </w:p>
    <w:p w14:paraId="73BD1881" w14:textId="77777777" w:rsidR="00802653" w:rsidRPr="00802653" w:rsidRDefault="00802653" w:rsidP="00802653"/>
    <w:p w14:paraId="38620294" w14:textId="77777777" w:rsidR="00802653" w:rsidRPr="00802653" w:rsidRDefault="00802653" w:rsidP="00802653">
      <w:pPr>
        <w:jc w:val="both"/>
        <w:rPr>
          <w:b/>
          <w:bCs/>
        </w:rPr>
      </w:pPr>
      <w:r w:rsidRPr="00802653">
        <w:t xml:space="preserve">There may be a requirement to vary the DCC outlined in the indicative timetable at section 4 when the final balance of DCC and SPA is subsequently agreed.  </w:t>
      </w:r>
    </w:p>
    <w:p w14:paraId="1405EED8" w14:textId="77777777" w:rsidR="00802653" w:rsidRDefault="00802653" w:rsidP="00550403"/>
    <w:p w14:paraId="232EFA32" w14:textId="77777777" w:rsidR="002D1897" w:rsidRDefault="00F34AD9" w:rsidP="00946E2A">
      <w:pPr>
        <w:ind w:right="901"/>
      </w:pPr>
      <w:r w:rsidRPr="00156BA1">
        <w:rPr>
          <w:caps/>
        </w:rPr>
        <w:tab/>
      </w:r>
      <w:r w:rsidR="00175CA5">
        <w:rPr>
          <w:noProof/>
          <w:lang w:eastAsia="en-GB"/>
        </w:rPr>
        <w:drawing>
          <wp:inline distT="0" distB="0" distL="0" distR="0" wp14:anchorId="2EC19FD3" wp14:editId="551D2EAD">
            <wp:extent cx="5734050" cy="628650"/>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14:paraId="5C410D87" w14:textId="77777777" w:rsidR="00AA7827" w:rsidRDefault="00AA7827"/>
    <w:p w14:paraId="46B0EB2E" w14:textId="77777777" w:rsidR="00AA7827" w:rsidRDefault="00AA7827"/>
    <w:p w14:paraId="0116DB12" w14:textId="77777777" w:rsidR="006E0703" w:rsidRPr="006E0703" w:rsidRDefault="006E0703" w:rsidP="006E0703">
      <w:pPr>
        <w:rPr>
          <w:b/>
        </w:rPr>
      </w:pPr>
      <w:r w:rsidRPr="006E0703">
        <w:rPr>
          <w:b/>
        </w:rPr>
        <w:t xml:space="preserve">Duties and Responsibilities  </w:t>
      </w:r>
    </w:p>
    <w:p w14:paraId="64DEEC3F" w14:textId="77777777" w:rsidR="006E0703" w:rsidRPr="006E0703" w:rsidRDefault="006E0703" w:rsidP="006E0703">
      <w:pPr>
        <w:rPr>
          <w:b/>
        </w:rPr>
      </w:pPr>
    </w:p>
    <w:p w14:paraId="571A1B42" w14:textId="77777777" w:rsidR="006E0703" w:rsidRPr="006E0703" w:rsidRDefault="006E0703" w:rsidP="006E0703">
      <w:r w:rsidRPr="006E0703">
        <w:t>The main duties and responsibilities of the post include:</w:t>
      </w:r>
    </w:p>
    <w:p w14:paraId="1F948746" w14:textId="77777777" w:rsidR="006E0703" w:rsidRPr="006E0703" w:rsidRDefault="006E0703" w:rsidP="00B02B23">
      <w:pPr>
        <w:pStyle w:val="NoSpacing"/>
      </w:pPr>
    </w:p>
    <w:p w14:paraId="2016492C" w14:textId="77777777" w:rsidR="006E0703" w:rsidRPr="006E0703" w:rsidRDefault="006E0703" w:rsidP="00B02B23">
      <w:pPr>
        <w:pStyle w:val="NoSpacing"/>
        <w:numPr>
          <w:ilvl w:val="0"/>
          <w:numId w:val="33"/>
        </w:numPr>
      </w:pPr>
      <w:r w:rsidRPr="006E0703">
        <w:t>Carrying out teaching as required, and for contributing to undergraduate and</w:t>
      </w:r>
      <w:r w:rsidRPr="006E0703">
        <w:rPr>
          <w:b/>
        </w:rPr>
        <w:t xml:space="preserve"> </w:t>
      </w:r>
      <w:r w:rsidRPr="006E0703">
        <w:t>postgraduate medical education. The post holder will be expected to comply with College recommendations on Continuing Medical Education.</w:t>
      </w:r>
    </w:p>
    <w:p w14:paraId="1201CE11" w14:textId="77777777" w:rsidR="006E0703" w:rsidRPr="006E0703" w:rsidRDefault="006E0703" w:rsidP="00B02B23">
      <w:pPr>
        <w:pStyle w:val="NoSpacing"/>
        <w:numPr>
          <w:ilvl w:val="0"/>
          <w:numId w:val="33"/>
        </w:numPr>
      </w:pPr>
      <w:r w:rsidRPr="006E0703">
        <w:t>The post holder will be required to comply with NHS Ayrshire and Arran’s Policies on Clinical Governance.</w:t>
      </w:r>
    </w:p>
    <w:p w14:paraId="6A4B14AD" w14:textId="77777777" w:rsidR="006E0703" w:rsidRPr="006E0703" w:rsidRDefault="006E0703" w:rsidP="00B02B23">
      <w:pPr>
        <w:pStyle w:val="NoSpacing"/>
        <w:numPr>
          <w:ilvl w:val="0"/>
          <w:numId w:val="33"/>
        </w:numPr>
      </w:pPr>
      <w:r w:rsidRPr="006E0703">
        <w:t xml:space="preserve">The successful applicant will be encouraged to participate in research and to develop a relevant subspecialty interest, subject to resources and local priorities.  </w:t>
      </w:r>
    </w:p>
    <w:p w14:paraId="0ACA776B" w14:textId="56C6D780" w:rsidR="006E0703" w:rsidRPr="006E0703" w:rsidRDefault="006E0703" w:rsidP="00B02B23">
      <w:pPr>
        <w:pStyle w:val="NoSpacing"/>
        <w:numPr>
          <w:ilvl w:val="0"/>
          <w:numId w:val="33"/>
        </w:numPr>
      </w:pPr>
      <w:r w:rsidRPr="006E0703">
        <w:t xml:space="preserve">Requirements to participate in medical audit and in continuing medical       </w:t>
      </w:r>
      <w:r w:rsidR="00B02B23">
        <w:t xml:space="preserve">        </w:t>
      </w:r>
      <w:r w:rsidRPr="006E0703">
        <w:t>education.</w:t>
      </w:r>
    </w:p>
    <w:p w14:paraId="14540D3B" w14:textId="77777777" w:rsidR="006E0703" w:rsidRPr="006E0703" w:rsidRDefault="006E0703" w:rsidP="00B02B23">
      <w:pPr>
        <w:pStyle w:val="NoSpacing"/>
        <w:numPr>
          <w:ilvl w:val="0"/>
          <w:numId w:val="33"/>
        </w:numPr>
      </w:pPr>
      <w:r w:rsidRPr="006E0703">
        <w:t>Managerial responsibilities (where appropriate).</w:t>
      </w:r>
    </w:p>
    <w:p w14:paraId="778C3D3D" w14:textId="77777777" w:rsidR="006E0703" w:rsidRPr="006E0703" w:rsidRDefault="006E0703" w:rsidP="006E0703">
      <w:pPr>
        <w:rPr>
          <w:b/>
        </w:rPr>
      </w:pPr>
    </w:p>
    <w:p w14:paraId="5A163ED3" w14:textId="24033CA7" w:rsidR="006E0703" w:rsidRPr="006E0703" w:rsidRDefault="006E0703" w:rsidP="006E0703">
      <w:pPr>
        <w:jc w:val="both"/>
      </w:pPr>
      <w:r w:rsidRPr="006E0703">
        <w:t xml:space="preserve">You shall integrate with other middle grade staff in the day-to-day service and commitments of the department.  Accordingly, the duties would be flexible </w:t>
      </w:r>
      <w:r>
        <w:t>and rotate between team members</w:t>
      </w:r>
      <w:r w:rsidRPr="006E0703">
        <w:t xml:space="preserve">. </w:t>
      </w:r>
    </w:p>
    <w:p w14:paraId="132608F9" w14:textId="77777777" w:rsidR="006E0703" w:rsidRPr="006E0703" w:rsidRDefault="006E0703" w:rsidP="006E0703">
      <w:pPr>
        <w:jc w:val="both"/>
      </w:pPr>
    </w:p>
    <w:p w14:paraId="3532FD3E" w14:textId="03101EE3" w:rsidR="006E0703" w:rsidRPr="006E0703" w:rsidRDefault="006E0703" w:rsidP="006E0703">
      <w:pPr>
        <w:jc w:val="both"/>
      </w:pPr>
      <w:r w:rsidRPr="006E0703">
        <w:t xml:space="preserve">All members of the department participate in </w:t>
      </w:r>
      <w:r>
        <w:t xml:space="preserve">weekly </w:t>
      </w:r>
      <w:r w:rsidRPr="006E0703">
        <w:t>meetings which may combine audit review or case discussions with our radiological and pathological colleagues.</w:t>
      </w:r>
    </w:p>
    <w:p w14:paraId="002A0F21" w14:textId="77777777" w:rsidR="006E0703" w:rsidRPr="006E0703" w:rsidRDefault="006E0703" w:rsidP="006E0703">
      <w:pPr>
        <w:jc w:val="both"/>
      </w:pPr>
    </w:p>
    <w:p w14:paraId="6893076A" w14:textId="77777777" w:rsidR="006E0703" w:rsidRPr="006E0703" w:rsidRDefault="006E0703" w:rsidP="006E0703">
      <w:pPr>
        <w:jc w:val="both"/>
      </w:pPr>
      <w:r w:rsidRPr="006E0703">
        <w:t>You will be accountable to the Clinical Director who will agree the weekly timetable.</w:t>
      </w:r>
    </w:p>
    <w:p w14:paraId="6B906C53" w14:textId="77777777" w:rsidR="006E0703" w:rsidRPr="006E0703" w:rsidRDefault="006E0703" w:rsidP="006E0703"/>
    <w:p w14:paraId="5E13DF1A" w14:textId="77777777" w:rsidR="006E0703" w:rsidRPr="006E0703" w:rsidRDefault="006E0703" w:rsidP="006E0703">
      <w:pPr>
        <w:spacing w:before="240" w:after="60"/>
        <w:outlineLvl w:val="6"/>
        <w:rPr>
          <w:rFonts w:eastAsia="Times New Roman"/>
          <w:b/>
          <w:lang w:eastAsia="en-GB"/>
        </w:rPr>
      </w:pPr>
      <w:r w:rsidRPr="006E0703">
        <w:rPr>
          <w:rFonts w:eastAsia="Times New Roman"/>
          <w:b/>
          <w:lang w:eastAsia="en-GB"/>
        </w:rPr>
        <w:t xml:space="preserve">Annual Appraisal </w:t>
      </w:r>
    </w:p>
    <w:p w14:paraId="3B62DA56" w14:textId="77777777" w:rsidR="006E0703" w:rsidRPr="006E0703" w:rsidRDefault="006E0703" w:rsidP="006E0703">
      <w:pPr>
        <w:rPr>
          <w:b/>
        </w:rPr>
      </w:pPr>
    </w:p>
    <w:p w14:paraId="5A5EF2AD" w14:textId="77777777" w:rsidR="006E0703" w:rsidRPr="006E0703" w:rsidRDefault="006E0703" w:rsidP="006E0703">
      <w:pPr>
        <w:rPr>
          <w:rFonts w:eastAsia="Times New Roman"/>
          <w:lang w:val="en-US" w:eastAsia="en-GB"/>
        </w:rPr>
      </w:pPr>
      <w:r w:rsidRPr="006E0703">
        <w:rPr>
          <w:rFonts w:eastAsia="Times New Roman"/>
          <w:lang w:val="en-US" w:eastAsia="en-GB"/>
        </w:rPr>
        <w:t xml:space="preserve">You shall be required to participate in annual appraisal and agree a personal development plan.  </w:t>
      </w:r>
    </w:p>
    <w:p w14:paraId="373E4651" w14:textId="77777777" w:rsidR="006E0703" w:rsidRDefault="006E0703" w:rsidP="00EA5E50">
      <w:pPr>
        <w:jc w:val="both"/>
      </w:pPr>
    </w:p>
    <w:p w14:paraId="6B1C5E73" w14:textId="77777777" w:rsidR="006E0703" w:rsidRDefault="006E0703" w:rsidP="00EA5E50">
      <w:pPr>
        <w:jc w:val="both"/>
      </w:pPr>
    </w:p>
    <w:p w14:paraId="0E8A8AED" w14:textId="77777777" w:rsidR="00AA7827" w:rsidRDefault="00AA7827"/>
    <w:p w14:paraId="74005CA5" w14:textId="77777777" w:rsidR="003B1EF4" w:rsidRDefault="00175CA5">
      <w:r>
        <w:rPr>
          <w:noProof/>
          <w:lang w:eastAsia="en-GB"/>
        </w:rPr>
        <w:drawing>
          <wp:inline distT="0" distB="0" distL="0" distR="0" wp14:anchorId="5B94988F" wp14:editId="6EAD8D7F">
            <wp:extent cx="5724525" cy="628650"/>
            <wp:effectExtent l="19050" t="0" r="9525"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14:paraId="4CEF08C5" w14:textId="77777777" w:rsidR="003B1EF4" w:rsidRDefault="003B1EF4"/>
    <w:p w14:paraId="1F8E8BA8" w14:textId="77777777" w:rsidR="00550403" w:rsidRDefault="00550403"/>
    <w:p w14:paraId="5E11F5C8" w14:textId="77777777" w:rsidR="008C10B5" w:rsidRDefault="008C10B5" w:rsidP="008C10B5">
      <w:r>
        <w:t xml:space="preserve">The terms and conditions of service applicable to this appointment are the Specialty Doctor Terms and Conditions of Service (Scotland) 2008 as amended from time to time. NHS Ayrshire &amp; Arran will require the post holder to agree with the Lead Clinician and General Manager, a job plan of fixed and other commitments, which will be reviewed on an annual basis and revised as necessary to meet the requirements of the local and national service issues. </w:t>
      </w:r>
    </w:p>
    <w:p w14:paraId="720EDC69" w14:textId="77777777" w:rsidR="008C10B5" w:rsidRDefault="008C10B5" w:rsidP="008C10B5"/>
    <w:p w14:paraId="3F2A916B" w14:textId="77777777" w:rsidR="008C10B5" w:rsidRDefault="008C10B5" w:rsidP="008C10B5">
      <w:r>
        <w:t>Specialty Doctors will be required to participate in an annual appraisal. Formal appointment to this post will be conditional upon satisfactory completion of all pre-employment checks, including satisfactory medical screening.</w:t>
      </w:r>
    </w:p>
    <w:p w14:paraId="5F1997A7" w14:textId="77777777" w:rsidR="008C10B5" w:rsidRDefault="008C10B5" w:rsidP="008C10B5"/>
    <w:p w14:paraId="73DBBD14" w14:textId="77777777" w:rsidR="008C10B5" w:rsidRDefault="008C10B5" w:rsidP="008C10B5">
      <w:r>
        <w:t xml:space="preserve">On commencement of employment, salary will be determined in accordance with Schedule 14 of the terms and conditions of service. This appointment will be </w:t>
      </w:r>
      <w:proofErr w:type="spellStart"/>
      <w:r>
        <w:t>superannuable</w:t>
      </w:r>
      <w:proofErr w:type="spellEnd"/>
      <w:r>
        <w:t xml:space="preserve"> under the NHS Superannuation Scheme. New employees will </w:t>
      </w:r>
      <w:r>
        <w:lastRenderedPageBreak/>
        <w:t xml:space="preserve">automatically be enrolled in the scheme unless they opt out. For further information, please contact the Scottish Public Pensions Agency (SPPA) on 01896 893100 or visit www.sppa.gov.uk. </w:t>
      </w:r>
    </w:p>
    <w:p w14:paraId="4FF1992F" w14:textId="77777777" w:rsidR="008C10B5" w:rsidRDefault="008C10B5" w:rsidP="008C10B5"/>
    <w:p w14:paraId="3A907CBB" w14:textId="028E6FBA" w:rsidR="002D1897" w:rsidRDefault="008C10B5" w:rsidP="008C10B5">
      <w:r>
        <w:t>The employment is subject to three calendar months’ notice on either side.</w:t>
      </w:r>
    </w:p>
    <w:p w14:paraId="5A003095" w14:textId="77777777" w:rsidR="00B02B23" w:rsidRDefault="00B02B23"/>
    <w:p w14:paraId="5454AE9A" w14:textId="77777777" w:rsidR="00B02B23" w:rsidRDefault="00B02B23"/>
    <w:p w14:paraId="4FBB280E" w14:textId="77777777" w:rsidR="00B02B23" w:rsidRDefault="00B02B23"/>
    <w:p w14:paraId="59FC8052" w14:textId="77777777" w:rsidR="00B02B23" w:rsidRDefault="00B02B23"/>
    <w:p w14:paraId="540DDD76" w14:textId="77777777" w:rsidR="002D1897" w:rsidRDefault="00175CA5">
      <w:r>
        <w:rPr>
          <w:noProof/>
          <w:lang w:eastAsia="en-GB"/>
        </w:rPr>
        <w:drawing>
          <wp:inline distT="0" distB="0" distL="0" distR="0" wp14:anchorId="131A4264" wp14:editId="7171B68A">
            <wp:extent cx="5724525" cy="561975"/>
            <wp:effectExtent l="19050" t="0" r="952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14:paraId="32F5D54E" w14:textId="77777777" w:rsidR="00AA7827" w:rsidRDefault="00AA7827"/>
    <w:p w14:paraId="1C04D838" w14:textId="77777777" w:rsidR="00AA7827" w:rsidRDefault="00AA7827"/>
    <w:p w14:paraId="00E7AFBE" w14:textId="41B20501" w:rsidR="00863360" w:rsidRDefault="00863360" w:rsidP="00863360">
      <w:r w:rsidRPr="00156BA1">
        <w:t xml:space="preserve">Applicants wishing further information about the post are invited to contact </w:t>
      </w:r>
      <w:r w:rsidR="000742B2">
        <w:t>D</w:t>
      </w:r>
      <w:r>
        <w:t xml:space="preserve">r </w:t>
      </w:r>
      <w:r w:rsidR="000742B2">
        <w:t>Peter MacLean</w:t>
      </w:r>
      <w:r>
        <w:t xml:space="preserve">, Clinical Director </w:t>
      </w:r>
      <w:hyperlink r:id="rId16" w:history="1">
        <w:r w:rsidR="006D3BF2" w:rsidRPr="00BF6905">
          <w:rPr>
            <w:rStyle w:val="Hyperlink"/>
          </w:rPr>
          <w:t>peter.maclean@aapct.scot.nhs.uk</w:t>
        </w:r>
      </w:hyperlink>
      <w:r w:rsidR="006D3BF2">
        <w:t xml:space="preserve"> </w:t>
      </w:r>
      <w:r w:rsidR="006D3BF2">
        <w:rPr>
          <w:bCs/>
        </w:rPr>
        <w:t xml:space="preserve">or Dr Fiona Nicholson </w:t>
      </w:r>
      <w:hyperlink r:id="rId17" w:history="1">
        <w:r w:rsidR="006D3BF2" w:rsidRPr="00BF6905">
          <w:rPr>
            <w:rStyle w:val="Hyperlink"/>
            <w:bCs/>
          </w:rPr>
          <w:t>fiona.nicholson@aapct.scot.nhs.uk</w:t>
        </w:r>
      </w:hyperlink>
      <w:r w:rsidR="006D3BF2">
        <w:rPr>
          <w:bCs/>
        </w:rPr>
        <w:t xml:space="preserve"> </w:t>
      </w:r>
      <w:r w:rsidR="00A569AC" w:rsidRPr="00A569AC">
        <w:t>with</w:t>
      </w:r>
      <w:r w:rsidRPr="00156BA1">
        <w:t xml:space="preserve"> whom visiting arrangements can also be made.</w:t>
      </w:r>
    </w:p>
    <w:p w14:paraId="6576C476" w14:textId="185BDF8D" w:rsidR="006D3BF2" w:rsidRDefault="006D3BF2">
      <w:r>
        <w:br w:type="page"/>
      </w:r>
    </w:p>
    <w:p w14:paraId="5F6D640C" w14:textId="77777777" w:rsidR="006D3BF2" w:rsidRDefault="006D3BF2" w:rsidP="00863360">
      <w:pPr>
        <w:sectPr w:rsidR="006D3BF2" w:rsidSect="00F80FD7">
          <w:headerReference w:type="even" r:id="rId18"/>
          <w:footerReference w:type="default" r:id="rId19"/>
          <w:headerReference w:type="first" r:id="rId20"/>
          <w:pgSz w:w="11906" w:h="16838"/>
          <w:pgMar w:top="1440" w:right="1440" w:bottom="1440" w:left="1440" w:header="708" w:footer="708" w:gutter="0"/>
          <w:pgNumType w:start="0"/>
          <w:cols w:space="708"/>
          <w:docGrid w:linePitch="360"/>
        </w:sectPr>
      </w:pPr>
    </w:p>
    <w:p w14:paraId="69ACB82E" w14:textId="77777777" w:rsidR="003B1EF4" w:rsidRDefault="00175CA5">
      <w:r>
        <w:rPr>
          <w:noProof/>
          <w:lang w:eastAsia="en-GB"/>
        </w:rPr>
        <w:lastRenderedPageBreak/>
        <w:drawing>
          <wp:inline distT="0" distB="0" distL="0" distR="0" wp14:anchorId="3274BF86" wp14:editId="43E44707">
            <wp:extent cx="5724525" cy="704850"/>
            <wp:effectExtent l="19050" t="0" r="9525"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14:paraId="22229C8C" w14:textId="77777777" w:rsidR="003B1EF4" w:rsidRDefault="003B1EF4"/>
    <w:p w14:paraId="24DC668D" w14:textId="77777777" w:rsidR="00AA7827" w:rsidRDefault="00AA7827"/>
    <w:p w14:paraId="4A0DE9FF" w14:textId="695FFBCC" w:rsidR="006E0703" w:rsidRPr="006E0703" w:rsidRDefault="006E0703" w:rsidP="006E0703">
      <w:pPr>
        <w:rPr>
          <w:sz w:val="28"/>
          <w:szCs w:val="28"/>
        </w:rPr>
      </w:pPr>
      <w:r w:rsidRPr="006E0703">
        <w:rPr>
          <w:b/>
          <w:sz w:val="28"/>
          <w:szCs w:val="28"/>
        </w:rPr>
        <w:t>Post of</w:t>
      </w:r>
      <w:r w:rsidRPr="006E0703">
        <w:rPr>
          <w:sz w:val="28"/>
          <w:szCs w:val="28"/>
        </w:rPr>
        <w:t xml:space="preserve">:    </w:t>
      </w:r>
      <w:r w:rsidRPr="006E0703">
        <w:rPr>
          <w:sz w:val="28"/>
          <w:szCs w:val="28"/>
        </w:rPr>
        <w:tab/>
        <w:t xml:space="preserve">Specialty Doctor in </w:t>
      </w:r>
      <w:r>
        <w:rPr>
          <w:sz w:val="28"/>
          <w:szCs w:val="28"/>
        </w:rPr>
        <w:t>Haematology</w:t>
      </w:r>
    </w:p>
    <w:p w14:paraId="12D6B1A8" w14:textId="30943122" w:rsidR="006E0703" w:rsidRPr="006E0703" w:rsidRDefault="006E0703" w:rsidP="006E0703">
      <w:pPr>
        <w:rPr>
          <w:sz w:val="28"/>
          <w:szCs w:val="28"/>
        </w:rPr>
      </w:pPr>
      <w:r w:rsidRPr="006E0703">
        <w:rPr>
          <w:b/>
          <w:sz w:val="28"/>
          <w:szCs w:val="28"/>
        </w:rPr>
        <w:t>Location</w:t>
      </w:r>
      <w:r w:rsidRPr="006E0703">
        <w:rPr>
          <w:sz w:val="28"/>
          <w:szCs w:val="28"/>
        </w:rPr>
        <w:t xml:space="preserve">: </w:t>
      </w:r>
      <w:r w:rsidRPr="006E0703">
        <w:rPr>
          <w:sz w:val="28"/>
          <w:szCs w:val="28"/>
        </w:rPr>
        <w:tab/>
        <w:t>University Hospital Crosshouse</w:t>
      </w:r>
    </w:p>
    <w:p w14:paraId="516A4196" w14:textId="77777777" w:rsidR="006E0703" w:rsidRPr="006E0703" w:rsidRDefault="006E0703" w:rsidP="006E0703">
      <w:pPr>
        <w:rPr>
          <w:b/>
        </w:rPr>
      </w:pPr>
    </w:p>
    <w:p w14:paraId="7463033C" w14:textId="77777777" w:rsidR="006E0703" w:rsidRPr="006E0703" w:rsidRDefault="006E0703" w:rsidP="006E0703">
      <w:pPr>
        <w:keepNext/>
        <w:spacing w:before="240" w:after="60"/>
        <w:outlineLvl w:val="1"/>
        <w:rPr>
          <w:rFonts w:eastAsia="Times New Roman"/>
          <w:b/>
          <w:bCs/>
          <w:iCs/>
        </w:rPr>
      </w:pPr>
      <w:r w:rsidRPr="006E0703">
        <w:rPr>
          <w:rFonts w:eastAsia="Times New Roman"/>
          <w:b/>
          <w:bCs/>
          <w:iCs/>
        </w:rPr>
        <w:t>Qualifications: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263"/>
      </w:tblGrid>
      <w:tr w:rsidR="006E0703" w:rsidRPr="006E0703" w14:paraId="61F71A97" w14:textId="77777777" w:rsidTr="007A1612">
        <w:trPr>
          <w:trHeight w:val="390"/>
        </w:trPr>
        <w:tc>
          <w:tcPr>
            <w:tcW w:w="6768" w:type="dxa"/>
            <w:tcBorders>
              <w:top w:val="single" w:sz="4" w:space="0" w:color="auto"/>
              <w:left w:val="single" w:sz="4" w:space="0" w:color="auto"/>
              <w:bottom w:val="single" w:sz="4" w:space="0" w:color="auto"/>
              <w:right w:val="single" w:sz="4" w:space="0" w:color="auto"/>
            </w:tcBorders>
          </w:tcPr>
          <w:p w14:paraId="15801CA5" w14:textId="77777777" w:rsidR="006E0703" w:rsidRPr="006E0703" w:rsidRDefault="006E0703" w:rsidP="006E0703">
            <w:pPr>
              <w:keepNext/>
              <w:spacing w:before="240" w:after="60"/>
              <w:outlineLvl w:val="2"/>
              <w:rPr>
                <w:rFonts w:eastAsia="Times New Roman"/>
                <w:b/>
                <w:bCs/>
                <w:sz w:val="26"/>
              </w:rPr>
            </w:pPr>
            <w:r w:rsidRPr="006E0703">
              <w:rPr>
                <w:rFonts w:eastAsia="Times New Roman"/>
                <w:b/>
                <w:bCs/>
                <w:sz w:val="26"/>
              </w:rPr>
              <w:t>Essential</w:t>
            </w:r>
          </w:p>
        </w:tc>
        <w:tc>
          <w:tcPr>
            <w:tcW w:w="3263" w:type="dxa"/>
            <w:tcBorders>
              <w:top w:val="single" w:sz="4" w:space="0" w:color="auto"/>
              <w:left w:val="single" w:sz="4" w:space="0" w:color="auto"/>
              <w:bottom w:val="single" w:sz="4" w:space="0" w:color="auto"/>
              <w:right w:val="single" w:sz="4" w:space="0" w:color="auto"/>
            </w:tcBorders>
          </w:tcPr>
          <w:p w14:paraId="6ED7A58E" w14:textId="77777777" w:rsidR="006E0703" w:rsidRPr="006E0703" w:rsidRDefault="006E0703" w:rsidP="006E0703">
            <w:pPr>
              <w:keepNext/>
              <w:spacing w:before="240" w:after="60"/>
              <w:outlineLvl w:val="1"/>
              <w:rPr>
                <w:rFonts w:eastAsia="Times New Roman"/>
                <w:b/>
                <w:bCs/>
                <w:iCs/>
              </w:rPr>
            </w:pPr>
            <w:r w:rsidRPr="006E0703">
              <w:rPr>
                <w:rFonts w:eastAsia="Times New Roman"/>
                <w:b/>
                <w:bCs/>
                <w:iCs/>
              </w:rPr>
              <w:t>Desirable</w:t>
            </w:r>
          </w:p>
        </w:tc>
      </w:tr>
      <w:tr w:rsidR="006E0703" w:rsidRPr="006E0703" w14:paraId="120FE7FC" w14:textId="77777777" w:rsidTr="007A1612">
        <w:trPr>
          <w:trHeight w:val="390"/>
        </w:trPr>
        <w:tc>
          <w:tcPr>
            <w:tcW w:w="6768" w:type="dxa"/>
            <w:tcBorders>
              <w:top w:val="single" w:sz="4" w:space="0" w:color="auto"/>
              <w:left w:val="single" w:sz="4" w:space="0" w:color="auto"/>
              <w:bottom w:val="single" w:sz="4" w:space="0" w:color="auto"/>
              <w:right w:val="single" w:sz="4" w:space="0" w:color="auto"/>
            </w:tcBorders>
          </w:tcPr>
          <w:p w14:paraId="5FC4032C" w14:textId="77777777" w:rsidR="006E0703" w:rsidRPr="006E0703" w:rsidRDefault="006E0703" w:rsidP="006E0703">
            <w:pPr>
              <w:keepNext/>
              <w:numPr>
                <w:ilvl w:val="0"/>
                <w:numId w:val="29"/>
              </w:numPr>
              <w:outlineLvl w:val="1"/>
              <w:rPr>
                <w:rFonts w:eastAsia="Times New Roman"/>
                <w:bCs/>
                <w:iCs/>
              </w:rPr>
            </w:pPr>
            <w:proofErr w:type="spellStart"/>
            <w:r w:rsidRPr="006E0703">
              <w:rPr>
                <w:rFonts w:eastAsia="Times New Roman"/>
                <w:bCs/>
                <w:iCs/>
              </w:rPr>
              <w:t>MBChB</w:t>
            </w:r>
            <w:proofErr w:type="spellEnd"/>
            <w:r w:rsidRPr="006E0703">
              <w:rPr>
                <w:rFonts w:eastAsia="Times New Roman"/>
                <w:bCs/>
                <w:iCs/>
              </w:rPr>
              <w:t xml:space="preserve">/MBBS or equivalent medical qualification </w:t>
            </w:r>
          </w:p>
          <w:p w14:paraId="7DBA9389" w14:textId="402DA604" w:rsidR="006E0703" w:rsidRPr="006E0703" w:rsidRDefault="006E0703" w:rsidP="006E0703">
            <w:pPr>
              <w:keepNext/>
              <w:ind w:left="720"/>
              <w:outlineLvl w:val="1"/>
              <w:rPr>
                <w:rFonts w:ascii="Cambria" w:eastAsia="Times New Roman" w:hAnsi="Cambria"/>
                <w:b/>
                <w:bCs/>
                <w:i/>
                <w:iCs/>
              </w:rPr>
            </w:pPr>
          </w:p>
        </w:tc>
        <w:tc>
          <w:tcPr>
            <w:tcW w:w="3263" w:type="dxa"/>
            <w:tcBorders>
              <w:top w:val="single" w:sz="4" w:space="0" w:color="auto"/>
              <w:left w:val="single" w:sz="4" w:space="0" w:color="auto"/>
              <w:bottom w:val="single" w:sz="4" w:space="0" w:color="auto"/>
              <w:right w:val="single" w:sz="4" w:space="0" w:color="auto"/>
            </w:tcBorders>
          </w:tcPr>
          <w:p w14:paraId="79BAE5D4" w14:textId="65964780" w:rsidR="006E0703" w:rsidRPr="00BF7E9C" w:rsidRDefault="00E922D5" w:rsidP="00E922D5">
            <w:pPr>
              <w:pStyle w:val="ListParagraph"/>
              <w:keepNext/>
              <w:numPr>
                <w:ilvl w:val="0"/>
                <w:numId w:val="29"/>
              </w:numPr>
              <w:spacing w:before="240" w:after="60"/>
              <w:outlineLvl w:val="1"/>
              <w:rPr>
                <w:rFonts w:cs="Arial"/>
                <w:bCs/>
                <w:i/>
                <w:iCs/>
              </w:rPr>
            </w:pPr>
            <w:r w:rsidRPr="00BF7E9C">
              <w:rPr>
                <w:rFonts w:cs="Arial"/>
                <w:bCs/>
                <w:iCs/>
              </w:rPr>
              <w:t>MRCP or equivalent</w:t>
            </w:r>
          </w:p>
        </w:tc>
      </w:tr>
      <w:tr w:rsidR="006E0703" w:rsidRPr="006E0703" w14:paraId="702136E4" w14:textId="77777777" w:rsidTr="007A1612">
        <w:trPr>
          <w:trHeight w:val="390"/>
        </w:trPr>
        <w:tc>
          <w:tcPr>
            <w:tcW w:w="6768" w:type="dxa"/>
            <w:tcBorders>
              <w:top w:val="single" w:sz="4" w:space="0" w:color="auto"/>
              <w:left w:val="single" w:sz="4" w:space="0" w:color="auto"/>
              <w:bottom w:val="single" w:sz="4" w:space="0" w:color="auto"/>
              <w:right w:val="single" w:sz="4" w:space="0" w:color="auto"/>
            </w:tcBorders>
          </w:tcPr>
          <w:p w14:paraId="07436CAB" w14:textId="77777777" w:rsidR="006E0703" w:rsidRPr="006E0703" w:rsidRDefault="006E0703" w:rsidP="006E0703">
            <w:pPr>
              <w:numPr>
                <w:ilvl w:val="0"/>
                <w:numId w:val="27"/>
              </w:numPr>
              <w:spacing w:before="60" w:after="60"/>
            </w:pPr>
            <w:r w:rsidRPr="006E0703">
              <w:t>Full GMC Registration with a Licence to Practice at time of appointment</w:t>
            </w:r>
          </w:p>
          <w:p w14:paraId="40AC7F7D" w14:textId="77777777" w:rsidR="006E0703" w:rsidRPr="006E0703" w:rsidRDefault="006E0703" w:rsidP="006E0703">
            <w:pPr>
              <w:numPr>
                <w:ilvl w:val="0"/>
                <w:numId w:val="27"/>
              </w:numPr>
              <w:tabs>
                <w:tab w:val="num" w:pos="-579"/>
              </w:tabs>
              <w:spacing w:after="120"/>
              <w:ind w:left="317" w:hanging="317"/>
            </w:pPr>
            <w:r w:rsidRPr="006E0703">
              <w:t>Evidence of achievement of Foundation competences by time of appointment in line with GMC standards/ Good Medical Practice including:</w:t>
            </w:r>
          </w:p>
          <w:p w14:paraId="34A3AE0F" w14:textId="77777777" w:rsidR="006E0703" w:rsidRPr="006E0703" w:rsidRDefault="006E0703" w:rsidP="006E0703">
            <w:pPr>
              <w:numPr>
                <w:ilvl w:val="1"/>
                <w:numId w:val="27"/>
              </w:numPr>
              <w:tabs>
                <w:tab w:val="num" w:pos="538"/>
              </w:tabs>
              <w:ind w:left="538" w:hanging="284"/>
            </w:pPr>
            <w:r w:rsidRPr="006E0703">
              <w:t>Good clinical care</w:t>
            </w:r>
          </w:p>
          <w:p w14:paraId="06595284" w14:textId="77777777" w:rsidR="006E0703" w:rsidRPr="006E0703" w:rsidRDefault="006E0703" w:rsidP="006E0703">
            <w:pPr>
              <w:numPr>
                <w:ilvl w:val="1"/>
                <w:numId w:val="27"/>
              </w:numPr>
              <w:tabs>
                <w:tab w:val="num" w:pos="538"/>
              </w:tabs>
              <w:ind w:left="538" w:hanging="284"/>
            </w:pPr>
            <w:r w:rsidRPr="006E0703">
              <w:t>Maintaining good medical practice</w:t>
            </w:r>
          </w:p>
          <w:p w14:paraId="2BBF35FF" w14:textId="77777777" w:rsidR="006E0703" w:rsidRPr="006E0703" w:rsidRDefault="006E0703" w:rsidP="006E0703">
            <w:pPr>
              <w:numPr>
                <w:ilvl w:val="1"/>
                <w:numId w:val="27"/>
              </w:numPr>
              <w:tabs>
                <w:tab w:val="num" w:pos="538"/>
              </w:tabs>
              <w:ind w:left="538" w:hanging="284"/>
            </w:pPr>
            <w:r w:rsidRPr="006E0703">
              <w:t xml:space="preserve">Good relationships and communication with patients </w:t>
            </w:r>
          </w:p>
          <w:p w14:paraId="61873946" w14:textId="77777777" w:rsidR="006E0703" w:rsidRPr="006E0703" w:rsidRDefault="006E0703" w:rsidP="006E0703">
            <w:pPr>
              <w:numPr>
                <w:ilvl w:val="1"/>
                <w:numId w:val="27"/>
              </w:numPr>
              <w:tabs>
                <w:tab w:val="num" w:pos="538"/>
              </w:tabs>
              <w:ind w:left="538" w:hanging="284"/>
            </w:pPr>
            <w:r w:rsidRPr="006E0703">
              <w:t>Good working relationships with colleagues</w:t>
            </w:r>
          </w:p>
          <w:p w14:paraId="1BAD10C4" w14:textId="77777777" w:rsidR="006E0703" w:rsidRPr="006E0703" w:rsidRDefault="006E0703" w:rsidP="006E0703">
            <w:pPr>
              <w:numPr>
                <w:ilvl w:val="1"/>
                <w:numId w:val="27"/>
              </w:numPr>
              <w:tabs>
                <w:tab w:val="num" w:pos="538"/>
              </w:tabs>
              <w:ind w:left="538" w:hanging="284"/>
            </w:pPr>
            <w:r w:rsidRPr="006E0703">
              <w:t>Good teaching and training</w:t>
            </w:r>
          </w:p>
          <w:p w14:paraId="5968FCFA" w14:textId="77777777" w:rsidR="006E0703" w:rsidRPr="006E0703" w:rsidRDefault="006E0703" w:rsidP="006E0703">
            <w:pPr>
              <w:numPr>
                <w:ilvl w:val="1"/>
                <w:numId w:val="27"/>
              </w:numPr>
              <w:tabs>
                <w:tab w:val="num" w:pos="538"/>
              </w:tabs>
              <w:ind w:left="538" w:hanging="284"/>
            </w:pPr>
            <w:r w:rsidRPr="006E0703">
              <w:t>Professional behaviour and probity</w:t>
            </w:r>
          </w:p>
          <w:p w14:paraId="2BBDF17E" w14:textId="77777777" w:rsidR="006E0703" w:rsidRPr="006E0703" w:rsidRDefault="006E0703" w:rsidP="006E0703">
            <w:pPr>
              <w:numPr>
                <w:ilvl w:val="1"/>
                <w:numId w:val="27"/>
              </w:numPr>
              <w:tabs>
                <w:tab w:val="num" w:pos="538"/>
              </w:tabs>
              <w:ind w:left="538" w:hanging="284"/>
            </w:pPr>
            <w:r w:rsidRPr="006E0703">
              <w:t xml:space="preserve">Delivery of good acute clinical care </w:t>
            </w:r>
          </w:p>
          <w:p w14:paraId="30E62D1D" w14:textId="77777777" w:rsidR="006E0703" w:rsidRPr="006E0703" w:rsidRDefault="006E0703" w:rsidP="006E0703">
            <w:pPr>
              <w:ind w:left="284"/>
            </w:pPr>
          </w:p>
          <w:p w14:paraId="095D902C" w14:textId="295BDECB" w:rsidR="006E0703" w:rsidRPr="006E0703" w:rsidRDefault="006E0703" w:rsidP="001252F3">
            <w:pPr>
              <w:numPr>
                <w:ilvl w:val="0"/>
                <w:numId w:val="31"/>
              </w:numPr>
              <w:jc w:val="both"/>
            </w:pPr>
            <w:r w:rsidRPr="006E0703">
              <w:t xml:space="preserve">Completion of a minimum of 4 years full-time postgraduate training </w:t>
            </w:r>
            <w:r w:rsidR="001252F3" w:rsidRPr="0053172B">
              <w:t>(or its equivalent gained on a less than full-time or flexible basis) at least two of which will be in a specialty training programme or specialty registrar locum appointment for training (LAT); or shall have equivalent training, experience or competencies, either in the UK or overseas.</w:t>
            </w:r>
            <w:r w:rsidR="001252F3">
              <w:t xml:space="preserve"> </w:t>
            </w:r>
          </w:p>
          <w:p w14:paraId="6570AB45" w14:textId="77777777" w:rsidR="006E0703" w:rsidRPr="006E0703" w:rsidRDefault="006E0703" w:rsidP="006E0703">
            <w:pPr>
              <w:spacing w:before="60" w:after="60"/>
            </w:pPr>
          </w:p>
          <w:p w14:paraId="4D180174" w14:textId="7B3066C3" w:rsidR="001252F3" w:rsidRPr="006E0703" w:rsidRDefault="006E0703" w:rsidP="001252F3">
            <w:pPr>
              <w:numPr>
                <w:ilvl w:val="0"/>
                <w:numId w:val="27"/>
              </w:numPr>
              <w:spacing w:before="60" w:after="60"/>
              <w:ind w:left="284" w:hanging="284"/>
            </w:pPr>
            <w:r w:rsidRPr="006E0703">
              <w:t>Eligibility to work in the UK</w:t>
            </w:r>
          </w:p>
        </w:tc>
        <w:tc>
          <w:tcPr>
            <w:tcW w:w="3263" w:type="dxa"/>
            <w:tcBorders>
              <w:top w:val="single" w:sz="4" w:space="0" w:color="auto"/>
              <w:left w:val="single" w:sz="4" w:space="0" w:color="auto"/>
              <w:bottom w:val="single" w:sz="4" w:space="0" w:color="auto"/>
              <w:right w:val="single" w:sz="4" w:space="0" w:color="auto"/>
            </w:tcBorders>
          </w:tcPr>
          <w:p w14:paraId="79D4BC2D" w14:textId="7D4DFF6C" w:rsidR="001252F3" w:rsidRPr="00DB05B9" w:rsidRDefault="00E922D5" w:rsidP="001252F3">
            <w:pPr>
              <w:numPr>
                <w:ilvl w:val="0"/>
                <w:numId w:val="30"/>
              </w:numPr>
            </w:pPr>
            <w:r>
              <w:t xml:space="preserve">Previous experience in clinical </w:t>
            </w:r>
            <w:proofErr w:type="gramStart"/>
            <w:r>
              <w:t xml:space="preserve">Haematology </w:t>
            </w:r>
            <w:r w:rsidR="001252F3" w:rsidRPr="00DB05B9">
              <w:t>.</w:t>
            </w:r>
            <w:proofErr w:type="gramEnd"/>
          </w:p>
          <w:p w14:paraId="2CFC8FB1" w14:textId="31DACDC9" w:rsidR="006E0703" w:rsidRPr="006E0703" w:rsidRDefault="006E0703" w:rsidP="001252F3">
            <w:pPr>
              <w:rPr>
                <w:rFonts w:eastAsia="Times New Roman"/>
                <w:bCs/>
                <w:iCs/>
              </w:rPr>
            </w:pPr>
          </w:p>
        </w:tc>
      </w:tr>
    </w:tbl>
    <w:p w14:paraId="4543AE81" w14:textId="77777777" w:rsidR="006E0703" w:rsidRPr="006E0703" w:rsidRDefault="006E0703" w:rsidP="006E0703">
      <w:pPr>
        <w:rPr>
          <w:b/>
        </w:rPr>
      </w:pPr>
    </w:p>
    <w:p w14:paraId="508A776F" w14:textId="77777777" w:rsidR="006E0703" w:rsidRPr="006E0703" w:rsidRDefault="006E0703" w:rsidP="006E0703">
      <w:pPr>
        <w:rPr>
          <w:b/>
        </w:rPr>
      </w:pPr>
    </w:p>
    <w:p w14:paraId="6B14BEBB" w14:textId="77777777" w:rsidR="006E0703" w:rsidRPr="006E0703" w:rsidRDefault="006E0703" w:rsidP="006E0703">
      <w:pPr>
        <w:rPr>
          <w:b/>
        </w:rPr>
      </w:pPr>
    </w:p>
    <w:p w14:paraId="15E5EADF" w14:textId="77777777" w:rsidR="006E0703" w:rsidRPr="006E0703" w:rsidRDefault="006E0703" w:rsidP="006E0703">
      <w:pPr>
        <w:rPr>
          <w:b/>
        </w:rPr>
      </w:pPr>
    </w:p>
    <w:p w14:paraId="307025E2" w14:textId="77777777" w:rsidR="006E0703" w:rsidRPr="006E0703" w:rsidRDefault="006E0703" w:rsidP="006E0703">
      <w:pPr>
        <w:rPr>
          <w:b/>
        </w:rPr>
      </w:pPr>
    </w:p>
    <w:p w14:paraId="596A23C5" w14:textId="77777777" w:rsidR="006E0703" w:rsidRPr="006E0703" w:rsidRDefault="006E0703" w:rsidP="006E0703">
      <w:pPr>
        <w:rPr>
          <w:b/>
        </w:rPr>
      </w:pPr>
    </w:p>
    <w:p w14:paraId="57EB2025" w14:textId="77777777" w:rsidR="006E0703" w:rsidRPr="006E0703" w:rsidRDefault="006E0703" w:rsidP="006E0703">
      <w:pPr>
        <w:rPr>
          <w:b/>
        </w:rPr>
      </w:pPr>
    </w:p>
    <w:p w14:paraId="723D14A3" w14:textId="77777777" w:rsidR="006E0703" w:rsidRPr="006E0703" w:rsidRDefault="006E0703" w:rsidP="006E0703">
      <w:pPr>
        <w:rPr>
          <w:b/>
        </w:rPr>
      </w:pPr>
    </w:p>
    <w:p w14:paraId="2C4DB251" w14:textId="77777777" w:rsidR="006E0703" w:rsidRPr="006E0703" w:rsidRDefault="006E0703" w:rsidP="006E0703">
      <w:pPr>
        <w:rPr>
          <w:b/>
        </w:rPr>
      </w:pPr>
    </w:p>
    <w:p w14:paraId="3BBEA611" w14:textId="77777777" w:rsidR="006E0703" w:rsidRPr="006E0703" w:rsidRDefault="006E0703" w:rsidP="006E0703">
      <w:pPr>
        <w:rPr>
          <w:b/>
        </w:rPr>
      </w:pPr>
    </w:p>
    <w:p w14:paraId="1BF5AF72" w14:textId="77777777" w:rsidR="006E0703" w:rsidRPr="006E0703" w:rsidRDefault="006E0703" w:rsidP="006E0703">
      <w:pPr>
        <w:rPr>
          <w:b/>
        </w:rPr>
      </w:pPr>
    </w:p>
    <w:p w14:paraId="3B587704" w14:textId="77777777" w:rsidR="006E0703" w:rsidRPr="006E0703" w:rsidRDefault="006E0703" w:rsidP="006E0703">
      <w:pPr>
        <w:tabs>
          <w:tab w:val="left" w:pos="720"/>
          <w:tab w:val="center" w:pos="4513"/>
          <w:tab w:val="right" w:pos="9026"/>
        </w:tabs>
        <w:rPr>
          <w:b/>
        </w:rPr>
      </w:pPr>
      <w:r w:rsidRPr="006E0703">
        <w:rPr>
          <w:b/>
        </w:rPr>
        <w:t>Skills/Knowledge/Competence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960"/>
        <w:gridCol w:w="3263"/>
      </w:tblGrid>
      <w:tr w:rsidR="006E0703" w:rsidRPr="006E0703" w14:paraId="6B371336" w14:textId="77777777" w:rsidTr="007A1612">
        <w:tc>
          <w:tcPr>
            <w:tcW w:w="2808" w:type="dxa"/>
            <w:tcBorders>
              <w:top w:val="single" w:sz="4" w:space="0" w:color="auto"/>
              <w:left w:val="single" w:sz="4" w:space="0" w:color="auto"/>
              <w:bottom w:val="single" w:sz="4" w:space="0" w:color="auto"/>
              <w:right w:val="single" w:sz="4" w:space="0" w:color="auto"/>
            </w:tcBorders>
          </w:tcPr>
          <w:p w14:paraId="4BDA9CAF" w14:textId="77777777" w:rsidR="006E0703" w:rsidRPr="006E0703" w:rsidRDefault="006E0703" w:rsidP="006E0703">
            <w:pPr>
              <w:tabs>
                <w:tab w:val="left" w:pos="720"/>
                <w:tab w:val="center" w:pos="4513"/>
                <w:tab w:val="right" w:pos="9026"/>
              </w:tabs>
              <w:rPr>
                <w:b/>
              </w:rPr>
            </w:pPr>
            <w:r w:rsidRPr="006E0703">
              <w:rPr>
                <w:b/>
              </w:rPr>
              <w:t>Requirements</w:t>
            </w:r>
          </w:p>
          <w:p w14:paraId="1CB9C350" w14:textId="77777777" w:rsidR="006E0703" w:rsidRPr="006E0703" w:rsidRDefault="006E0703" w:rsidP="006E0703">
            <w:pPr>
              <w:tabs>
                <w:tab w:val="left" w:pos="720"/>
                <w:tab w:val="center" w:pos="4513"/>
                <w:tab w:val="right" w:pos="9026"/>
              </w:tabs>
              <w:rPr>
                <w:b/>
              </w:rPr>
            </w:pPr>
          </w:p>
        </w:tc>
        <w:tc>
          <w:tcPr>
            <w:tcW w:w="3960" w:type="dxa"/>
            <w:tcBorders>
              <w:top w:val="single" w:sz="4" w:space="0" w:color="auto"/>
              <w:left w:val="single" w:sz="4" w:space="0" w:color="auto"/>
              <w:bottom w:val="single" w:sz="4" w:space="0" w:color="auto"/>
              <w:right w:val="single" w:sz="4" w:space="0" w:color="auto"/>
            </w:tcBorders>
          </w:tcPr>
          <w:p w14:paraId="1D869075" w14:textId="77777777" w:rsidR="006E0703" w:rsidRPr="006E0703" w:rsidRDefault="006E0703" w:rsidP="006E0703">
            <w:pPr>
              <w:tabs>
                <w:tab w:val="left" w:pos="720"/>
                <w:tab w:val="center" w:pos="4513"/>
                <w:tab w:val="right" w:pos="9026"/>
              </w:tabs>
              <w:rPr>
                <w:b/>
              </w:rPr>
            </w:pPr>
            <w:r w:rsidRPr="006E0703">
              <w:rPr>
                <w:b/>
              </w:rPr>
              <w:t>Essential</w:t>
            </w:r>
          </w:p>
        </w:tc>
        <w:tc>
          <w:tcPr>
            <w:tcW w:w="3263" w:type="dxa"/>
            <w:tcBorders>
              <w:top w:val="single" w:sz="4" w:space="0" w:color="auto"/>
              <w:left w:val="single" w:sz="4" w:space="0" w:color="auto"/>
              <w:bottom w:val="single" w:sz="4" w:space="0" w:color="auto"/>
              <w:right w:val="single" w:sz="4" w:space="0" w:color="auto"/>
            </w:tcBorders>
          </w:tcPr>
          <w:p w14:paraId="4E609B6A" w14:textId="77777777" w:rsidR="006E0703" w:rsidRPr="006E0703" w:rsidRDefault="006E0703" w:rsidP="006E0703">
            <w:pPr>
              <w:tabs>
                <w:tab w:val="left" w:pos="720"/>
                <w:tab w:val="center" w:pos="4513"/>
                <w:tab w:val="right" w:pos="9026"/>
              </w:tabs>
              <w:rPr>
                <w:b/>
              </w:rPr>
            </w:pPr>
            <w:r w:rsidRPr="006E0703">
              <w:rPr>
                <w:b/>
              </w:rPr>
              <w:t>Desirable</w:t>
            </w:r>
          </w:p>
        </w:tc>
      </w:tr>
      <w:tr w:rsidR="006E0703" w:rsidRPr="006E0703" w14:paraId="382FE901" w14:textId="77777777" w:rsidTr="007A1612">
        <w:trPr>
          <w:cantSplit/>
          <w:trHeight w:val="2044"/>
        </w:trPr>
        <w:tc>
          <w:tcPr>
            <w:tcW w:w="2808" w:type="dxa"/>
            <w:tcBorders>
              <w:top w:val="single" w:sz="4" w:space="0" w:color="auto"/>
              <w:left w:val="single" w:sz="4" w:space="0" w:color="auto"/>
              <w:bottom w:val="single" w:sz="4" w:space="0" w:color="auto"/>
              <w:right w:val="single" w:sz="4" w:space="0" w:color="auto"/>
            </w:tcBorders>
          </w:tcPr>
          <w:p w14:paraId="3AE8F96D" w14:textId="77777777" w:rsidR="006E0703" w:rsidRPr="006E0703" w:rsidRDefault="006E0703" w:rsidP="006E0703">
            <w:pPr>
              <w:tabs>
                <w:tab w:val="left" w:pos="720"/>
                <w:tab w:val="center" w:pos="4513"/>
                <w:tab w:val="right" w:pos="9026"/>
              </w:tabs>
              <w:rPr>
                <w:b/>
              </w:rPr>
            </w:pPr>
            <w:r w:rsidRPr="006E0703">
              <w:rPr>
                <w:b/>
              </w:rPr>
              <w:t>General Experience:</w:t>
            </w:r>
          </w:p>
          <w:p w14:paraId="16B5995A" w14:textId="77777777" w:rsidR="006E0703" w:rsidRPr="006E0703" w:rsidRDefault="006E0703" w:rsidP="006E0703">
            <w:pPr>
              <w:numPr>
                <w:ilvl w:val="0"/>
                <w:numId w:val="3"/>
              </w:numPr>
              <w:tabs>
                <w:tab w:val="center" w:pos="4153"/>
                <w:tab w:val="right" w:pos="8306"/>
              </w:tabs>
              <w:rPr>
                <w:b/>
              </w:rPr>
            </w:pPr>
            <w:r w:rsidRPr="006E0703">
              <w:t>Expertise in generalist field</w:t>
            </w:r>
          </w:p>
          <w:p w14:paraId="4FC8C180" w14:textId="77777777" w:rsidR="006E0703" w:rsidRPr="006E0703" w:rsidRDefault="006E0703" w:rsidP="006E0703">
            <w:pPr>
              <w:tabs>
                <w:tab w:val="left" w:pos="720"/>
                <w:tab w:val="center" w:pos="4513"/>
                <w:tab w:val="right" w:pos="9026"/>
              </w:tabs>
            </w:pPr>
          </w:p>
          <w:p w14:paraId="63B420FE" w14:textId="77777777" w:rsidR="006E0703" w:rsidRPr="006E0703" w:rsidRDefault="006E0703" w:rsidP="006E0703">
            <w:pPr>
              <w:tabs>
                <w:tab w:val="center" w:pos="4513"/>
                <w:tab w:val="right" w:pos="9026"/>
              </w:tabs>
              <w:rPr>
                <w:b/>
              </w:rPr>
            </w:pPr>
          </w:p>
        </w:tc>
        <w:tc>
          <w:tcPr>
            <w:tcW w:w="3960" w:type="dxa"/>
            <w:tcBorders>
              <w:top w:val="single" w:sz="4" w:space="0" w:color="auto"/>
              <w:left w:val="single" w:sz="4" w:space="0" w:color="auto"/>
              <w:bottom w:val="single" w:sz="4" w:space="0" w:color="auto"/>
              <w:right w:val="single" w:sz="4" w:space="0" w:color="auto"/>
            </w:tcBorders>
          </w:tcPr>
          <w:p w14:paraId="1DA4A40F" w14:textId="3A9FA59E" w:rsidR="00BF7E9C" w:rsidRDefault="00BF7E9C" w:rsidP="006E0703">
            <w:pPr>
              <w:numPr>
                <w:ilvl w:val="0"/>
                <w:numId w:val="2"/>
              </w:numPr>
              <w:tabs>
                <w:tab w:val="num" w:pos="360"/>
                <w:tab w:val="center" w:pos="4153"/>
                <w:tab w:val="right" w:pos="8306"/>
              </w:tabs>
              <w:ind w:left="360"/>
            </w:pPr>
            <w:r>
              <w:t>Strong basic medical and haematological knowledge commensurate with completion of general medical training</w:t>
            </w:r>
          </w:p>
          <w:p w14:paraId="592D6963" w14:textId="72CDEF97" w:rsidR="00BF7E9C" w:rsidRDefault="00BF7E9C" w:rsidP="006E0703">
            <w:pPr>
              <w:numPr>
                <w:ilvl w:val="0"/>
                <w:numId w:val="2"/>
              </w:numPr>
              <w:tabs>
                <w:tab w:val="num" w:pos="360"/>
                <w:tab w:val="center" w:pos="4153"/>
                <w:tab w:val="right" w:pos="8306"/>
              </w:tabs>
              <w:ind w:left="360"/>
            </w:pPr>
            <w:r>
              <w:t>Ability to deal with acute medical problems with indirect supervision</w:t>
            </w:r>
          </w:p>
          <w:p w14:paraId="30CC1B86" w14:textId="6F4AA4E4" w:rsidR="006E0703" w:rsidRPr="006E0703" w:rsidRDefault="006E0703" w:rsidP="006E0703">
            <w:pPr>
              <w:numPr>
                <w:ilvl w:val="0"/>
                <w:numId w:val="2"/>
              </w:numPr>
              <w:tabs>
                <w:tab w:val="num" w:pos="360"/>
                <w:tab w:val="center" w:pos="4153"/>
                <w:tab w:val="right" w:pos="8306"/>
              </w:tabs>
              <w:ind w:left="360"/>
            </w:pPr>
            <w:r w:rsidRPr="006E0703">
              <w:t>Ability to communicate effectively with all levels of staff and patients</w:t>
            </w:r>
          </w:p>
          <w:p w14:paraId="2148C28B" w14:textId="77777777" w:rsidR="006E0703" w:rsidRPr="006E0703" w:rsidRDefault="006E0703" w:rsidP="006E0703">
            <w:pPr>
              <w:numPr>
                <w:ilvl w:val="0"/>
                <w:numId w:val="2"/>
              </w:numPr>
              <w:tabs>
                <w:tab w:val="num" w:pos="360"/>
                <w:tab w:val="center" w:pos="4153"/>
                <w:tab w:val="right" w:pos="8306"/>
              </w:tabs>
              <w:ind w:left="360"/>
            </w:pPr>
            <w:r w:rsidRPr="006E0703">
              <w:t>Ability to work efficiently and timeously</w:t>
            </w:r>
          </w:p>
          <w:p w14:paraId="7F5C0052" w14:textId="77777777" w:rsidR="006E0703" w:rsidRPr="006E0703" w:rsidRDefault="006E0703" w:rsidP="006E0703">
            <w:pPr>
              <w:numPr>
                <w:ilvl w:val="0"/>
                <w:numId w:val="2"/>
              </w:numPr>
              <w:tabs>
                <w:tab w:val="num" w:pos="360"/>
                <w:tab w:val="center" w:pos="4153"/>
                <w:tab w:val="right" w:pos="8306"/>
              </w:tabs>
              <w:ind w:left="360"/>
            </w:pPr>
            <w:r w:rsidRPr="006E0703">
              <w:t>IT literacy</w:t>
            </w:r>
          </w:p>
          <w:p w14:paraId="078541FA" w14:textId="77777777" w:rsidR="006E0703" w:rsidRPr="006E0703" w:rsidRDefault="006E0703" w:rsidP="006E0703">
            <w:pPr>
              <w:tabs>
                <w:tab w:val="left" w:pos="720"/>
                <w:tab w:val="center" w:pos="4513"/>
                <w:tab w:val="right" w:pos="9026"/>
              </w:tabs>
            </w:pPr>
          </w:p>
        </w:tc>
        <w:tc>
          <w:tcPr>
            <w:tcW w:w="3263" w:type="dxa"/>
            <w:tcBorders>
              <w:top w:val="single" w:sz="4" w:space="0" w:color="auto"/>
              <w:left w:val="single" w:sz="4" w:space="0" w:color="auto"/>
              <w:bottom w:val="single" w:sz="4" w:space="0" w:color="auto"/>
              <w:right w:val="single" w:sz="4" w:space="0" w:color="auto"/>
            </w:tcBorders>
          </w:tcPr>
          <w:p w14:paraId="1E40D4C9" w14:textId="5566B9F5" w:rsidR="006E0703" w:rsidRPr="00BF7E9C" w:rsidRDefault="00BF7E9C" w:rsidP="00BF7E9C">
            <w:pPr>
              <w:pStyle w:val="ListParagraph"/>
              <w:numPr>
                <w:ilvl w:val="0"/>
                <w:numId w:val="2"/>
              </w:numPr>
              <w:tabs>
                <w:tab w:val="center" w:pos="4153"/>
                <w:tab w:val="right" w:pos="8306"/>
              </w:tabs>
              <w:ind w:right="175"/>
            </w:pPr>
            <w:r w:rsidRPr="00BF7E9C">
              <w:t>S</w:t>
            </w:r>
            <w:r>
              <w:t>pecialist knowledge of Ha</w:t>
            </w:r>
            <w:r w:rsidRPr="00BF7E9C">
              <w:t>ematology</w:t>
            </w:r>
          </w:p>
        </w:tc>
      </w:tr>
      <w:tr w:rsidR="006E0703" w:rsidRPr="006E0703" w14:paraId="6BC690CC" w14:textId="77777777" w:rsidTr="007A1612">
        <w:trPr>
          <w:cantSplit/>
          <w:trHeight w:val="985"/>
        </w:trPr>
        <w:tc>
          <w:tcPr>
            <w:tcW w:w="2808" w:type="dxa"/>
            <w:tcBorders>
              <w:top w:val="single" w:sz="4" w:space="0" w:color="auto"/>
              <w:left w:val="single" w:sz="4" w:space="0" w:color="auto"/>
              <w:bottom w:val="single" w:sz="4" w:space="0" w:color="auto"/>
              <w:right w:val="single" w:sz="4" w:space="0" w:color="auto"/>
            </w:tcBorders>
          </w:tcPr>
          <w:p w14:paraId="210A97DE" w14:textId="50369636" w:rsidR="006E0703" w:rsidRPr="006E0703" w:rsidRDefault="006E0703" w:rsidP="006E0703">
            <w:pPr>
              <w:tabs>
                <w:tab w:val="left" w:pos="720"/>
                <w:tab w:val="center" w:pos="4513"/>
                <w:tab w:val="right" w:pos="9026"/>
              </w:tabs>
              <w:rPr>
                <w:b/>
              </w:rPr>
            </w:pPr>
            <w:r w:rsidRPr="006E0703">
              <w:rPr>
                <w:b/>
              </w:rPr>
              <w:t xml:space="preserve">Team Working </w:t>
            </w:r>
          </w:p>
          <w:p w14:paraId="2E70E495" w14:textId="77777777" w:rsidR="006E0703" w:rsidRPr="006E0703" w:rsidRDefault="006E0703" w:rsidP="006E0703">
            <w:pPr>
              <w:tabs>
                <w:tab w:val="left" w:pos="720"/>
                <w:tab w:val="center" w:pos="4513"/>
                <w:tab w:val="right" w:pos="9026"/>
              </w:tabs>
              <w:rPr>
                <w:b/>
              </w:rPr>
            </w:pPr>
          </w:p>
          <w:p w14:paraId="3BFE062A" w14:textId="77777777" w:rsidR="006E0703" w:rsidRPr="006E0703" w:rsidRDefault="006E0703" w:rsidP="006E0703">
            <w:pPr>
              <w:tabs>
                <w:tab w:val="left" w:pos="720"/>
                <w:tab w:val="center" w:pos="4513"/>
                <w:tab w:val="right" w:pos="9026"/>
              </w:tabs>
              <w:rPr>
                <w:b/>
              </w:rPr>
            </w:pPr>
          </w:p>
        </w:tc>
        <w:tc>
          <w:tcPr>
            <w:tcW w:w="3960" w:type="dxa"/>
            <w:tcBorders>
              <w:top w:val="single" w:sz="4" w:space="0" w:color="auto"/>
              <w:left w:val="single" w:sz="4" w:space="0" w:color="auto"/>
              <w:bottom w:val="single" w:sz="4" w:space="0" w:color="auto"/>
              <w:right w:val="single" w:sz="4" w:space="0" w:color="auto"/>
            </w:tcBorders>
          </w:tcPr>
          <w:p w14:paraId="1B3F5187" w14:textId="77777777" w:rsidR="006E0703" w:rsidRPr="006E0703" w:rsidRDefault="006E0703" w:rsidP="006E0703">
            <w:pPr>
              <w:numPr>
                <w:ilvl w:val="0"/>
                <w:numId w:val="8"/>
              </w:numPr>
              <w:tabs>
                <w:tab w:val="center" w:pos="4153"/>
                <w:tab w:val="right" w:pos="8306"/>
              </w:tabs>
            </w:pPr>
            <w:r w:rsidRPr="006E0703">
              <w:t>Effective Team Player</w:t>
            </w:r>
          </w:p>
        </w:tc>
        <w:tc>
          <w:tcPr>
            <w:tcW w:w="3263" w:type="dxa"/>
            <w:tcBorders>
              <w:top w:val="single" w:sz="4" w:space="0" w:color="auto"/>
              <w:left w:val="single" w:sz="4" w:space="0" w:color="auto"/>
              <w:bottom w:val="single" w:sz="4" w:space="0" w:color="auto"/>
              <w:right w:val="single" w:sz="4" w:space="0" w:color="auto"/>
            </w:tcBorders>
          </w:tcPr>
          <w:p w14:paraId="67275A78" w14:textId="77777777" w:rsidR="006E0703" w:rsidRPr="006E0703" w:rsidRDefault="006E0703" w:rsidP="006E0703">
            <w:pPr>
              <w:tabs>
                <w:tab w:val="left" w:pos="720"/>
                <w:tab w:val="center" w:pos="4513"/>
                <w:tab w:val="right" w:pos="9026"/>
              </w:tabs>
            </w:pPr>
          </w:p>
        </w:tc>
      </w:tr>
      <w:tr w:rsidR="006E0703" w:rsidRPr="006E0703" w14:paraId="0CBFBFBA" w14:textId="77777777" w:rsidTr="007A1612">
        <w:trPr>
          <w:cantSplit/>
          <w:trHeight w:val="1409"/>
        </w:trPr>
        <w:tc>
          <w:tcPr>
            <w:tcW w:w="2808" w:type="dxa"/>
            <w:tcBorders>
              <w:top w:val="single" w:sz="4" w:space="0" w:color="auto"/>
              <w:left w:val="single" w:sz="4" w:space="0" w:color="auto"/>
              <w:bottom w:val="single" w:sz="4" w:space="0" w:color="auto"/>
              <w:right w:val="single" w:sz="4" w:space="0" w:color="auto"/>
            </w:tcBorders>
          </w:tcPr>
          <w:p w14:paraId="3BADCED5" w14:textId="77777777" w:rsidR="006E0703" w:rsidRPr="006E0703" w:rsidRDefault="006E0703" w:rsidP="006E0703">
            <w:pPr>
              <w:tabs>
                <w:tab w:val="left" w:pos="720"/>
                <w:tab w:val="center" w:pos="4513"/>
                <w:tab w:val="right" w:pos="9026"/>
              </w:tabs>
            </w:pPr>
            <w:r w:rsidRPr="006E0703">
              <w:rPr>
                <w:b/>
              </w:rPr>
              <w:t>Development</w:t>
            </w:r>
          </w:p>
        </w:tc>
        <w:tc>
          <w:tcPr>
            <w:tcW w:w="3960" w:type="dxa"/>
            <w:tcBorders>
              <w:top w:val="single" w:sz="4" w:space="0" w:color="auto"/>
              <w:left w:val="single" w:sz="4" w:space="0" w:color="auto"/>
              <w:bottom w:val="single" w:sz="4" w:space="0" w:color="auto"/>
              <w:right w:val="single" w:sz="4" w:space="0" w:color="auto"/>
            </w:tcBorders>
          </w:tcPr>
          <w:p w14:paraId="15E48A70" w14:textId="77777777" w:rsidR="006E0703" w:rsidRPr="006E0703" w:rsidRDefault="006E0703" w:rsidP="006E0703">
            <w:pPr>
              <w:numPr>
                <w:ilvl w:val="0"/>
                <w:numId w:val="9"/>
              </w:numPr>
              <w:tabs>
                <w:tab w:val="center" w:pos="4153"/>
                <w:tab w:val="right" w:pos="8306"/>
              </w:tabs>
            </w:pPr>
            <w:r w:rsidRPr="006E0703">
              <w:t>Evidence of relevant Continuing Professional Development</w:t>
            </w:r>
          </w:p>
          <w:p w14:paraId="7B9FA1FB" w14:textId="77777777" w:rsidR="006E0703" w:rsidRPr="00BF7E9C" w:rsidRDefault="006E0703" w:rsidP="006E0703">
            <w:pPr>
              <w:keepNext/>
              <w:numPr>
                <w:ilvl w:val="0"/>
                <w:numId w:val="27"/>
              </w:numPr>
              <w:spacing w:before="60" w:after="60"/>
              <w:outlineLvl w:val="2"/>
              <w:rPr>
                <w:rFonts w:eastAsia="Times New Roman"/>
                <w:bCs/>
                <w:sz w:val="26"/>
              </w:rPr>
            </w:pPr>
            <w:r w:rsidRPr="00BF7E9C">
              <w:rPr>
                <w:rFonts w:eastAsia="Times New Roman"/>
                <w:bCs/>
                <w:sz w:val="26"/>
              </w:rPr>
              <w:t>Ability to provide a complete employment history</w:t>
            </w:r>
          </w:p>
          <w:p w14:paraId="36161C56" w14:textId="77777777" w:rsidR="006E0703" w:rsidRPr="006E0703" w:rsidRDefault="006E0703" w:rsidP="006E0703">
            <w:pPr>
              <w:numPr>
                <w:ilvl w:val="0"/>
                <w:numId w:val="27"/>
              </w:numPr>
              <w:tabs>
                <w:tab w:val="num" w:pos="0"/>
              </w:tabs>
            </w:pPr>
            <w:r w:rsidRPr="006E0703">
              <w:t xml:space="preserve">Evidence of satisfactory career progression </w:t>
            </w:r>
          </w:p>
          <w:p w14:paraId="0949D65A" w14:textId="77777777" w:rsidR="006E0703" w:rsidRPr="006E0703" w:rsidRDefault="006E0703" w:rsidP="006E0703">
            <w:pPr>
              <w:numPr>
                <w:ilvl w:val="0"/>
                <w:numId w:val="28"/>
              </w:numPr>
              <w:tabs>
                <w:tab w:val="num" w:pos="0"/>
                <w:tab w:val="num" w:pos="738"/>
              </w:tabs>
              <w:ind w:left="738"/>
            </w:pPr>
            <w:r w:rsidRPr="006E0703">
              <w:t>No unexplained career breaks</w:t>
            </w:r>
          </w:p>
          <w:p w14:paraId="39A33CBA" w14:textId="77777777" w:rsidR="006E0703" w:rsidRPr="006E0703" w:rsidRDefault="006E0703" w:rsidP="00BF7E9C">
            <w:pPr>
              <w:tabs>
                <w:tab w:val="num" w:pos="0"/>
              </w:tabs>
              <w:spacing w:before="120"/>
              <w:ind w:left="284"/>
            </w:pPr>
          </w:p>
        </w:tc>
        <w:tc>
          <w:tcPr>
            <w:tcW w:w="3263" w:type="dxa"/>
            <w:tcBorders>
              <w:top w:val="single" w:sz="4" w:space="0" w:color="auto"/>
              <w:left w:val="single" w:sz="4" w:space="0" w:color="auto"/>
              <w:bottom w:val="single" w:sz="4" w:space="0" w:color="auto"/>
              <w:right w:val="single" w:sz="4" w:space="0" w:color="auto"/>
            </w:tcBorders>
          </w:tcPr>
          <w:p w14:paraId="465D84E3" w14:textId="77777777" w:rsidR="006E0703" w:rsidRPr="006E0703" w:rsidRDefault="006E0703" w:rsidP="006E0703">
            <w:pPr>
              <w:tabs>
                <w:tab w:val="center" w:pos="4513"/>
                <w:tab w:val="right" w:pos="9026"/>
              </w:tabs>
            </w:pPr>
          </w:p>
        </w:tc>
      </w:tr>
      <w:tr w:rsidR="006E0703" w:rsidRPr="006E0703" w14:paraId="0B7BBEDF" w14:textId="77777777" w:rsidTr="007A1612">
        <w:trPr>
          <w:cantSplit/>
          <w:trHeight w:val="975"/>
        </w:trPr>
        <w:tc>
          <w:tcPr>
            <w:tcW w:w="2808" w:type="dxa"/>
            <w:tcBorders>
              <w:top w:val="single" w:sz="4" w:space="0" w:color="auto"/>
              <w:left w:val="single" w:sz="4" w:space="0" w:color="auto"/>
              <w:bottom w:val="single" w:sz="4" w:space="0" w:color="auto"/>
              <w:right w:val="single" w:sz="4" w:space="0" w:color="auto"/>
            </w:tcBorders>
          </w:tcPr>
          <w:p w14:paraId="332AEC15" w14:textId="77777777" w:rsidR="006E0703" w:rsidRPr="006E0703" w:rsidRDefault="006E0703" w:rsidP="006E0703">
            <w:pPr>
              <w:tabs>
                <w:tab w:val="left" w:pos="720"/>
                <w:tab w:val="center" w:pos="4513"/>
                <w:tab w:val="right" w:pos="9026"/>
              </w:tabs>
              <w:rPr>
                <w:b/>
              </w:rPr>
            </w:pPr>
            <w:r w:rsidRPr="006E0703">
              <w:rPr>
                <w:b/>
              </w:rPr>
              <w:t>Teaching &amp; Training</w:t>
            </w:r>
          </w:p>
        </w:tc>
        <w:tc>
          <w:tcPr>
            <w:tcW w:w="3960" w:type="dxa"/>
            <w:tcBorders>
              <w:top w:val="single" w:sz="4" w:space="0" w:color="auto"/>
              <w:left w:val="single" w:sz="4" w:space="0" w:color="auto"/>
              <w:bottom w:val="single" w:sz="4" w:space="0" w:color="auto"/>
              <w:right w:val="single" w:sz="4" w:space="0" w:color="auto"/>
            </w:tcBorders>
          </w:tcPr>
          <w:p w14:paraId="10AFAD3C" w14:textId="40556178" w:rsidR="006E0703" w:rsidRPr="006E0703" w:rsidRDefault="006E0703" w:rsidP="00BF7E9C">
            <w:pPr>
              <w:tabs>
                <w:tab w:val="center" w:pos="4153"/>
                <w:tab w:val="right" w:pos="8306"/>
              </w:tabs>
              <w:ind w:left="360"/>
            </w:pPr>
          </w:p>
        </w:tc>
        <w:tc>
          <w:tcPr>
            <w:tcW w:w="3263" w:type="dxa"/>
            <w:tcBorders>
              <w:top w:val="single" w:sz="4" w:space="0" w:color="auto"/>
              <w:left w:val="single" w:sz="4" w:space="0" w:color="auto"/>
              <w:bottom w:val="single" w:sz="4" w:space="0" w:color="auto"/>
              <w:right w:val="single" w:sz="4" w:space="0" w:color="auto"/>
            </w:tcBorders>
          </w:tcPr>
          <w:p w14:paraId="3E9594D7" w14:textId="2FC056D2" w:rsidR="006E0703" w:rsidRPr="006E0703" w:rsidRDefault="00BF7E9C" w:rsidP="00BF7E9C">
            <w:pPr>
              <w:pStyle w:val="ListParagraph"/>
              <w:numPr>
                <w:ilvl w:val="0"/>
                <w:numId w:val="9"/>
              </w:numPr>
              <w:tabs>
                <w:tab w:val="center" w:pos="4513"/>
                <w:tab w:val="right" w:pos="9026"/>
              </w:tabs>
            </w:pPr>
            <w:r>
              <w:t>Experience of small group teaching of undergraduates</w:t>
            </w:r>
          </w:p>
        </w:tc>
      </w:tr>
      <w:tr w:rsidR="006E0703" w:rsidRPr="006E0703" w14:paraId="413F399E" w14:textId="77777777" w:rsidTr="007A1612">
        <w:trPr>
          <w:cantSplit/>
          <w:trHeight w:val="848"/>
        </w:trPr>
        <w:tc>
          <w:tcPr>
            <w:tcW w:w="2808" w:type="dxa"/>
            <w:tcBorders>
              <w:top w:val="single" w:sz="4" w:space="0" w:color="auto"/>
              <w:left w:val="single" w:sz="4" w:space="0" w:color="auto"/>
              <w:bottom w:val="single" w:sz="4" w:space="0" w:color="auto"/>
              <w:right w:val="single" w:sz="4" w:space="0" w:color="auto"/>
            </w:tcBorders>
          </w:tcPr>
          <w:p w14:paraId="25561E6C" w14:textId="77777777" w:rsidR="006E0703" w:rsidRPr="006E0703" w:rsidRDefault="006E0703" w:rsidP="006E0703">
            <w:pPr>
              <w:tabs>
                <w:tab w:val="left" w:pos="720"/>
                <w:tab w:val="center" w:pos="4513"/>
                <w:tab w:val="right" w:pos="9026"/>
              </w:tabs>
            </w:pPr>
            <w:r w:rsidRPr="006E0703">
              <w:rPr>
                <w:b/>
              </w:rPr>
              <w:t>Research &amp; Publications</w:t>
            </w:r>
          </w:p>
        </w:tc>
        <w:tc>
          <w:tcPr>
            <w:tcW w:w="3960" w:type="dxa"/>
            <w:tcBorders>
              <w:top w:val="single" w:sz="4" w:space="0" w:color="auto"/>
              <w:left w:val="single" w:sz="4" w:space="0" w:color="auto"/>
              <w:bottom w:val="single" w:sz="4" w:space="0" w:color="auto"/>
              <w:right w:val="single" w:sz="4" w:space="0" w:color="auto"/>
            </w:tcBorders>
          </w:tcPr>
          <w:p w14:paraId="73D9CB8E" w14:textId="77777777" w:rsidR="006E0703" w:rsidRPr="006E0703" w:rsidRDefault="006E0703" w:rsidP="006E0703">
            <w:pPr>
              <w:tabs>
                <w:tab w:val="center" w:pos="4513"/>
                <w:tab w:val="right" w:pos="9026"/>
              </w:tabs>
            </w:pPr>
          </w:p>
        </w:tc>
        <w:tc>
          <w:tcPr>
            <w:tcW w:w="3263" w:type="dxa"/>
            <w:tcBorders>
              <w:top w:val="single" w:sz="4" w:space="0" w:color="auto"/>
              <w:left w:val="single" w:sz="4" w:space="0" w:color="auto"/>
              <w:bottom w:val="single" w:sz="4" w:space="0" w:color="auto"/>
              <w:right w:val="single" w:sz="4" w:space="0" w:color="auto"/>
            </w:tcBorders>
          </w:tcPr>
          <w:p w14:paraId="0562FAE1" w14:textId="77777777" w:rsidR="006E0703" w:rsidRPr="006E0703" w:rsidRDefault="006E0703" w:rsidP="006E0703">
            <w:pPr>
              <w:numPr>
                <w:ilvl w:val="0"/>
                <w:numId w:val="25"/>
              </w:numPr>
              <w:tabs>
                <w:tab w:val="center" w:pos="4153"/>
                <w:tab w:val="right" w:pos="8306"/>
              </w:tabs>
            </w:pPr>
            <w:r w:rsidRPr="006E0703">
              <w:t xml:space="preserve">Evidence of publications. </w:t>
            </w:r>
          </w:p>
        </w:tc>
      </w:tr>
      <w:tr w:rsidR="006E0703" w:rsidRPr="006E0703" w14:paraId="3511797D" w14:textId="77777777" w:rsidTr="007A1612">
        <w:trPr>
          <w:cantSplit/>
        </w:trPr>
        <w:tc>
          <w:tcPr>
            <w:tcW w:w="2808" w:type="dxa"/>
            <w:tcBorders>
              <w:top w:val="single" w:sz="4" w:space="0" w:color="auto"/>
              <w:left w:val="single" w:sz="4" w:space="0" w:color="auto"/>
              <w:bottom w:val="single" w:sz="4" w:space="0" w:color="auto"/>
              <w:right w:val="single" w:sz="4" w:space="0" w:color="auto"/>
            </w:tcBorders>
          </w:tcPr>
          <w:p w14:paraId="31923EDC" w14:textId="77777777" w:rsidR="006E0703" w:rsidRPr="006E0703" w:rsidRDefault="006E0703" w:rsidP="006E0703">
            <w:pPr>
              <w:tabs>
                <w:tab w:val="left" w:pos="720"/>
                <w:tab w:val="center" w:pos="4513"/>
                <w:tab w:val="right" w:pos="9026"/>
              </w:tabs>
              <w:rPr>
                <w:b/>
              </w:rPr>
            </w:pPr>
            <w:r w:rsidRPr="006E0703">
              <w:rPr>
                <w:b/>
              </w:rPr>
              <w:t>Clinical Audit</w:t>
            </w:r>
          </w:p>
        </w:tc>
        <w:tc>
          <w:tcPr>
            <w:tcW w:w="3960" w:type="dxa"/>
            <w:tcBorders>
              <w:top w:val="single" w:sz="4" w:space="0" w:color="auto"/>
              <w:left w:val="single" w:sz="4" w:space="0" w:color="auto"/>
              <w:bottom w:val="single" w:sz="4" w:space="0" w:color="auto"/>
              <w:right w:val="single" w:sz="4" w:space="0" w:color="auto"/>
            </w:tcBorders>
          </w:tcPr>
          <w:p w14:paraId="52825D4E" w14:textId="77777777" w:rsidR="006E0703" w:rsidRPr="006E0703" w:rsidRDefault="006E0703" w:rsidP="006E0703">
            <w:pPr>
              <w:numPr>
                <w:ilvl w:val="0"/>
                <w:numId w:val="25"/>
              </w:numPr>
              <w:tabs>
                <w:tab w:val="center" w:pos="4153"/>
                <w:tab w:val="right" w:pos="8306"/>
              </w:tabs>
            </w:pPr>
            <w:r w:rsidRPr="006E0703">
              <w:t>Evidence of participation in audit</w:t>
            </w:r>
          </w:p>
          <w:p w14:paraId="6E425BF0" w14:textId="77777777" w:rsidR="006E0703" w:rsidRPr="006E0703" w:rsidRDefault="006E0703" w:rsidP="006E0703">
            <w:pPr>
              <w:tabs>
                <w:tab w:val="left" w:pos="720"/>
                <w:tab w:val="center" w:pos="4513"/>
                <w:tab w:val="right" w:pos="9026"/>
              </w:tabs>
            </w:pPr>
          </w:p>
        </w:tc>
        <w:tc>
          <w:tcPr>
            <w:tcW w:w="3263" w:type="dxa"/>
            <w:tcBorders>
              <w:top w:val="single" w:sz="4" w:space="0" w:color="auto"/>
              <w:left w:val="single" w:sz="4" w:space="0" w:color="auto"/>
              <w:bottom w:val="single" w:sz="4" w:space="0" w:color="auto"/>
              <w:right w:val="single" w:sz="4" w:space="0" w:color="auto"/>
            </w:tcBorders>
          </w:tcPr>
          <w:p w14:paraId="02CE07E4" w14:textId="77777777" w:rsidR="006E0703" w:rsidRPr="006E0703" w:rsidRDefault="006E0703" w:rsidP="006E0703">
            <w:pPr>
              <w:tabs>
                <w:tab w:val="left" w:pos="720"/>
                <w:tab w:val="center" w:pos="4513"/>
                <w:tab w:val="right" w:pos="9026"/>
              </w:tabs>
            </w:pPr>
          </w:p>
        </w:tc>
      </w:tr>
      <w:tr w:rsidR="006E0703" w:rsidRPr="006E0703" w14:paraId="1867CD62" w14:textId="77777777" w:rsidTr="007A1612">
        <w:trPr>
          <w:cantSplit/>
          <w:trHeight w:val="1835"/>
        </w:trPr>
        <w:tc>
          <w:tcPr>
            <w:tcW w:w="2808" w:type="dxa"/>
            <w:tcBorders>
              <w:top w:val="single" w:sz="4" w:space="0" w:color="auto"/>
              <w:left w:val="single" w:sz="4" w:space="0" w:color="auto"/>
              <w:bottom w:val="single" w:sz="4" w:space="0" w:color="auto"/>
              <w:right w:val="single" w:sz="4" w:space="0" w:color="auto"/>
            </w:tcBorders>
          </w:tcPr>
          <w:p w14:paraId="7A6E8B13" w14:textId="77777777" w:rsidR="006E0703" w:rsidRPr="006E0703" w:rsidRDefault="006E0703" w:rsidP="006E0703">
            <w:pPr>
              <w:tabs>
                <w:tab w:val="left" w:pos="720"/>
                <w:tab w:val="center" w:pos="4513"/>
                <w:tab w:val="right" w:pos="9026"/>
              </w:tabs>
              <w:rPr>
                <w:b/>
              </w:rPr>
            </w:pPr>
            <w:r w:rsidRPr="006E0703">
              <w:rPr>
                <w:b/>
              </w:rPr>
              <w:lastRenderedPageBreak/>
              <w:t>Management and Administration</w:t>
            </w:r>
          </w:p>
        </w:tc>
        <w:tc>
          <w:tcPr>
            <w:tcW w:w="3960" w:type="dxa"/>
            <w:tcBorders>
              <w:top w:val="single" w:sz="4" w:space="0" w:color="auto"/>
              <w:left w:val="single" w:sz="4" w:space="0" w:color="auto"/>
              <w:bottom w:val="single" w:sz="4" w:space="0" w:color="auto"/>
              <w:right w:val="single" w:sz="4" w:space="0" w:color="auto"/>
            </w:tcBorders>
          </w:tcPr>
          <w:p w14:paraId="7DDA4080" w14:textId="77777777" w:rsidR="006E0703" w:rsidRPr="006E0703" w:rsidRDefault="006E0703" w:rsidP="006E0703">
            <w:pPr>
              <w:numPr>
                <w:ilvl w:val="0"/>
                <w:numId w:val="12"/>
              </w:numPr>
              <w:tabs>
                <w:tab w:val="center" w:pos="4153"/>
                <w:tab w:val="right" w:pos="8306"/>
              </w:tabs>
            </w:pPr>
            <w:r w:rsidRPr="006E0703">
              <w:t>Proven organisational skills</w:t>
            </w:r>
          </w:p>
          <w:p w14:paraId="38E95E38" w14:textId="77777777" w:rsidR="006E0703" w:rsidRPr="006E0703" w:rsidRDefault="006E0703" w:rsidP="006E0703">
            <w:pPr>
              <w:spacing w:before="60" w:after="60"/>
            </w:pPr>
            <w:r w:rsidRPr="006E0703">
              <w:t>All applicants to have demonstrable skills in written and spoken English adequate to enable effective communication about medical topics with patients and colleagues demonstrated by one of the following:</w:t>
            </w:r>
          </w:p>
          <w:p w14:paraId="6BD05D96" w14:textId="77777777" w:rsidR="006E0703" w:rsidRPr="006E0703" w:rsidRDefault="006E0703" w:rsidP="006E0703">
            <w:pPr>
              <w:numPr>
                <w:ilvl w:val="1"/>
                <w:numId w:val="27"/>
              </w:numPr>
              <w:spacing w:before="60" w:after="60"/>
              <w:ind w:left="600" w:hanging="283"/>
            </w:pPr>
            <w:r w:rsidRPr="006E0703">
              <w:t xml:space="preserve">a) that applicants have undertaken undergraduate medical training in English; or </w:t>
            </w:r>
          </w:p>
          <w:p w14:paraId="33A33C21" w14:textId="77777777" w:rsidR="006E0703" w:rsidRPr="006E0703" w:rsidRDefault="006E0703" w:rsidP="006E0703">
            <w:pPr>
              <w:numPr>
                <w:ilvl w:val="1"/>
                <w:numId w:val="27"/>
              </w:numPr>
              <w:spacing w:before="60" w:after="60"/>
              <w:ind w:left="600" w:hanging="283"/>
            </w:pPr>
            <w:r w:rsidRPr="006E0703">
              <w:t xml:space="preserve">b) </w:t>
            </w:r>
            <w:proofErr w:type="gramStart"/>
            <w:r w:rsidRPr="006E0703">
              <w:t>have</w:t>
            </w:r>
            <w:proofErr w:type="gramEnd"/>
            <w:r w:rsidRPr="006E0703">
              <w:t xml:space="preserve"> the following scores in the academic </w:t>
            </w:r>
            <w:proofErr w:type="spellStart"/>
            <w:r w:rsidRPr="006E0703">
              <w:t>lnternational</w:t>
            </w:r>
            <w:proofErr w:type="spellEnd"/>
            <w:r w:rsidRPr="006E0703">
              <w:t xml:space="preserve"> English Language Testing System (IELTS) – Overall 7, Speaking 7, Listening 6, Reading 6, Writing 6. </w:t>
            </w:r>
          </w:p>
          <w:p w14:paraId="1846828D" w14:textId="77777777" w:rsidR="006E0703" w:rsidRPr="006E0703" w:rsidRDefault="006E0703" w:rsidP="006E0703">
            <w:pPr>
              <w:numPr>
                <w:ilvl w:val="0"/>
                <w:numId w:val="12"/>
              </w:numPr>
              <w:tabs>
                <w:tab w:val="center" w:pos="4153"/>
                <w:tab w:val="right" w:pos="8306"/>
              </w:tabs>
            </w:pPr>
            <w:r w:rsidRPr="006E0703">
              <w:t>If applicants believe they have adequate communication skills but do not fit into one of these examples they must provide supporting evidence</w:t>
            </w:r>
          </w:p>
        </w:tc>
        <w:tc>
          <w:tcPr>
            <w:tcW w:w="3263" w:type="dxa"/>
            <w:tcBorders>
              <w:top w:val="single" w:sz="4" w:space="0" w:color="auto"/>
              <w:left w:val="single" w:sz="4" w:space="0" w:color="auto"/>
              <w:bottom w:val="single" w:sz="4" w:space="0" w:color="auto"/>
              <w:right w:val="single" w:sz="4" w:space="0" w:color="auto"/>
            </w:tcBorders>
          </w:tcPr>
          <w:p w14:paraId="640B166A" w14:textId="77777777" w:rsidR="006E0703" w:rsidRPr="006E0703" w:rsidRDefault="006E0703" w:rsidP="006E0703">
            <w:pPr>
              <w:numPr>
                <w:ilvl w:val="0"/>
                <w:numId w:val="13"/>
              </w:numPr>
              <w:tabs>
                <w:tab w:val="center" w:pos="4153"/>
                <w:tab w:val="right" w:pos="8306"/>
              </w:tabs>
            </w:pPr>
            <w:r w:rsidRPr="006E0703">
              <w:t>Understanding of resource management and quality assurance.</w:t>
            </w:r>
          </w:p>
        </w:tc>
      </w:tr>
      <w:tr w:rsidR="006E0703" w:rsidRPr="006E0703" w14:paraId="089F0F0D" w14:textId="77777777" w:rsidTr="007A1612">
        <w:trPr>
          <w:cantSplit/>
          <w:trHeight w:val="1100"/>
        </w:trPr>
        <w:tc>
          <w:tcPr>
            <w:tcW w:w="2808" w:type="dxa"/>
            <w:tcBorders>
              <w:top w:val="single" w:sz="4" w:space="0" w:color="auto"/>
              <w:left w:val="single" w:sz="4" w:space="0" w:color="auto"/>
              <w:bottom w:val="single" w:sz="4" w:space="0" w:color="auto"/>
              <w:right w:val="single" w:sz="4" w:space="0" w:color="auto"/>
            </w:tcBorders>
          </w:tcPr>
          <w:p w14:paraId="613ED927" w14:textId="77777777" w:rsidR="006E0703" w:rsidRPr="006E0703" w:rsidRDefault="006E0703" w:rsidP="006E0703">
            <w:pPr>
              <w:tabs>
                <w:tab w:val="left" w:pos="720"/>
                <w:tab w:val="center" w:pos="4513"/>
                <w:tab w:val="right" w:pos="9026"/>
              </w:tabs>
              <w:rPr>
                <w:b/>
              </w:rPr>
            </w:pPr>
            <w:r w:rsidRPr="006E0703">
              <w:rPr>
                <w:b/>
              </w:rPr>
              <w:t>Personal and Interpersonal Skills</w:t>
            </w:r>
          </w:p>
        </w:tc>
        <w:tc>
          <w:tcPr>
            <w:tcW w:w="3960" w:type="dxa"/>
            <w:tcBorders>
              <w:top w:val="single" w:sz="4" w:space="0" w:color="auto"/>
              <w:left w:val="single" w:sz="4" w:space="0" w:color="auto"/>
              <w:bottom w:val="single" w:sz="4" w:space="0" w:color="auto"/>
              <w:right w:val="single" w:sz="4" w:space="0" w:color="auto"/>
            </w:tcBorders>
          </w:tcPr>
          <w:p w14:paraId="431DA1FB" w14:textId="77777777" w:rsidR="006E0703" w:rsidRPr="006E0703" w:rsidRDefault="006E0703" w:rsidP="006E0703">
            <w:pPr>
              <w:numPr>
                <w:ilvl w:val="0"/>
                <w:numId w:val="14"/>
              </w:numPr>
              <w:tabs>
                <w:tab w:val="center" w:pos="4153"/>
                <w:tab w:val="right" w:pos="8306"/>
              </w:tabs>
            </w:pPr>
            <w:r w:rsidRPr="006E0703">
              <w:t>A willingness to accept flexibility to meet the changing needs of the NHS in Scotland</w:t>
            </w:r>
          </w:p>
          <w:p w14:paraId="62DBFAD7" w14:textId="77777777" w:rsidR="006E0703" w:rsidRPr="006E0703" w:rsidRDefault="006E0703" w:rsidP="006E0703">
            <w:pPr>
              <w:numPr>
                <w:ilvl w:val="0"/>
                <w:numId w:val="15"/>
              </w:numPr>
              <w:tabs>
                <w:tab w:val="center" w:pos="4153"/>
                <w:tab w:val="right" w:pos="8306"/>
              </w:tabs>
            </w:pPr>
            <w:r w:rsidRPr="006E0703">
              <w:t>Effective communicator</w:t>
            </w:r>
          </w:p>
          <w:p w14:paraId="3030322C" w14:textId="00A49594" w:rsidR="006E0703" w:rsidRPr="006E0703" w:rsidRDefault="00BF7E9C" w:rsidP="006E0703">
            <w:pPr>
              <w:numPr>
                <w:ilvl w:val="0"/>
                <w:numId w:val="16"/>
              </w:numPr>
              <w:tabs>
                <w:tab w:val="center" w:pos="4153"/>
                <w:tab w:val="right" w:pos="8306"/>
              </w:tabs>
            </w:pPr>
            <w:r>
              <w:t xml:space="preserve">Open and </w:t>
            </w:r>
            <w:r w:rsidR="006E0703" w:rsidRPr="006E0703">
              <w:t>non-confrontational</w:t>
            </w:r>
          </w:p>
        </w:tc>
        <w:tc>
          <w:tcPr>
            <w:tcW w:w="3263" w:type="dxa"/>
            <w:tcBorders>
              <w:top w:val="single" w:sz="4" w:space="0" w:color="auto"/>
              <w:left w:val="single" w:sz="4" w:space="0" w:color="auto"/>
              <w:bottom w:val="single" w:sz="4" w:space="0" w:color="auto"/>
              <w:right w:val="single" w:sz="4" w:space="0" w:color="auto"/>
            </w:tcBorders>
          </w:tcPr>
          <w:p w14:paraId="4401802D" w14:textId="77777777" w:rsidR="006E0703" w:rsidRPr="006E0703" w:rsidRDefault="006E0703" w:rsidP="006E0703">
            <w:pPr>
              <w:numPr>
                <w:ilvl w:val="0"/>
                <w:numId w:val="17"/>
              </w:numPr>
              <w:tabs>
                <w:tab w:val="center" w:pos="4153"/>
                <w:tab w:val="right" w:pos="8306"/>
              </w:tabs>
            </w:pPr>
            <w:r w:rsidRPr="006E0703">
              <w:t>Knowledge of recent changes in the NHS in Scotland</w:t>
            </w:r>
          </w:p>
        </w:tc>
      </w:tr>
    </w:tbl>
    <w:p w14:paraId="286B4666" w14:textId="77777777" w:rsidR="00550403" w:rsidRDefault="00550403" w:rsidP="00550403">
      <w:pPr>
        <w:pStyle w:val="Header"/>
        <w:rPr>
          <w:b/>
          <w:bCs/>
          <w:sz w:val="28"/>
          <w:szCs w:val="28"/>
        </w:rPr>
      </w:pPr>
    </w:p>
    <w:p w14:paraId="236A7AC6" w14:textId="77777777" w:rsidR="00AA7827" w:rsidRDefault="00AA7827"/>
    <w:p w14:paraId="46F4D5BF" w14:textId="77777777" w:rsidR="00AA7827" w:rsidRDefault="00AA7827"/>
    <w:p w14:paraId="39B8D5BB" w14:textId="77777777" w:rsidR="00AA7827" w:rsidRDefault="00AA7827"/>
    <w:p w14:paraId="02EC3C81" w14:textId="77777777" w:rsidR="00AA7827" w:rsidRDefault="00AA7827"/>
    <w:sectPr w:rsidR="00AA7827" w:rsidSect="00F80FD7">
      <w:pgSz w:w="11906" w:h="16838"/>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34445" w14:textId="77777777" w:rsidR="006C744F" w:rsidRDefault="006C744F" w:rsidP="0070498B">
      <w:r>
        <w:separator/>
      </w:r>
    </w:p>
  </w:endnote>
  <w:endnote w:type="continuationSeparator" w:id="0">
    <w:p w14:paraId="70D3D70D" w14:textId="77777777" w:rsidR="006C744F" w:rsidRDefault="006C744F"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84AAE" w14:textId="77777777" w:rsidR="00550403" w:rsidRDefault="00550403" w:rsidP="00097EFD">
    <w:pPr>
      <w:pStyle w:val="Footer"/>
    </w:pPr>
    <w:r>
      <w:t>NHS Ayrshire &amp; Arran Medical Job Description</w:t>
    </w:r>
    <w:r>
      <w:tab/>
    </w:r>
    <w:r>
      <w:tab/>
      <w:t xml:space="preserve"> </w:t>
    </w:r>
    <w:r w:rsidR="007D76A3">
      <w:rPr>
        <w:noProof/>
      </w:rPr>
      <w:fldChar w:fldCharType="begin"/>
    </w:r>
    <w:r w:rsidR="00432F09">
      <w:rPr>
        <w:noProof/>
      </w:rPr>
      <w:instrText xml:space="preserve"> PAGE   \* MERGEFORMAT </w:instrText>
    </w:r>
    <w:r w:rsidR="007D76A3">
      <w:rPr>
        <w:noProof/>
      </w:rPr>
      <w:fldChar w:fldCharType="separate"/>
    </w:r>
    <w:r w:rsidR="00591873">
      <w:rPr>
        <w:noProof/>
      </w:rPr>
      <w:t>2</w:t>
    </w:r>
    <w:r w:rsidR="007D76A3">
      <w:rPr>
        <w:noProof/>
      </w:rPr>
      <w:fldChar w:fldCharType="end"/>
    </w:r>
  </w:p>
  <w:p w14:paraId="7335D737" w14:textId="77777777" w:rsidR="00550403" w:rsidRDefault="00550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7FF29" w14:textId="77777777" w:rsidR="006C744F" w:rsidRDefault="006C744F" w:rsidP="0070498B">
      <w:r>
        <w:separator/>
      </w:r>
    </w:p>
  </w:footnote>
  <w:footnote w:type="continuationSeparator" w:id="0">
    <w:p w14:paraId="295D7AF8" w14:textId="77777777" w:rsidR="006C744F" w:rsidRDefault="006C744F"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4804C" w14:textId="77777777" w:rsidR="00550403" w:rsidRDefault="006C744F">
    <w:pPr>
      <w:pStyle w:val="Header"/>
    </w:pPr>
    <w:r>
      <w:rPr>
        <w:noProof/>
        <w:lang w:eastAsia="en-GB"/>
      </w:rPr>
      <w:pict w14:anchorId="572D6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ECD3D" w14:textId="77777777" w:rsidR="00550403" w:rsidRDefault="006C744F">
    <w:pPr>
      <w:pStyle w:val="Header"/>
    </w:pPr>
    <w:r>
      <w:rPr>
        <w:noProof/>
        <w:lang w:eastAsia="en-GB"/>
      </w:rPr>
      <w:pict w14:anchorId="03D2C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264;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22CAB"/>
    <w:multiLevelType w:val="hybridMultilevel"/>
    <w:tmpl w:val="B248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B3F0A"/>
    <w:multiLevelType w:val="hybridMultilevel"/>
    <w:tmpl w:val="5C5E117C"/>
    <w:lvl w:ilvl="0" w:tplc="08090003">
      <w:start w:val="1"/>
      <w:numFmt w:val="bullet"/>
      <w:lvlText w:val="o"/>
      <w:lvlJc w:val="left"/>
      <w:pPr>
        <w:tabs>
          <w:tab w:val="num" w:pos="360"/>
        </w:tabs>
        <w:ind w:left="360" w:hanging="360"/>
      </w:pPr>
      <w:rPr>
        <w:rFonts w:ascii="Courier New" w:hAnsi="Courier New" w:cs="Courier New" w:hint="default"/>
      </w:rPr>
    </w:lvl>
    <w:lvl w:ilvl="1" w:tplc="08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202D96"/>
    <w:multiLevelType w:val="hybridMultilevel"/>
    <w:tmpl w:val="88FCA7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73555F"/>
    <w:multiLevelType w:val="hybridMultilevel"/>
    <w:tmpl w:val="B6043D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D1CF3"/>
    <w:multiLevelType w:val="singleLevel"/>
    <w:tmpl w:val="A49EB3E0"/>
    <w:lvl w:ilvl="0">
      <w:start w:val="2"/>
      <w:numFmt w:val="decimal"/>
      <w:lvlText w:val="%1."/>
      <w:lvlJc w:val="left"/>
      <w:pPr>
        <w:tabs>
          <w:tab w:val="num" w:pos="1440"/>
        </w:tabs>
        <w:ind w:left="1440" w:hanging="1440"/>
      </w:pPr>
      <w:rPr>
        <w:rFonts w:hint="default"/>
      </w:rPr>
    </w:lvl>
  </w:abstractNum>
  <w:abstractNum w:abstractNumId="13"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9401C8"/>
    <w:multiLevelType w:val="hybridMultilevel"/>
    <w:tmpl w:val="C506EEA8"/>
    <w:lvl w:ilvl="0" w:tplc="FFFFFFFF">
      <w:start w:val="1"/>
      <w:numFmt w:val="bullet"/>
      <w:lvlText w:val=""/>
      <w:lvlJc w:val="left"/>
      <w:pPr>
        <w:tabs>
          <w:tab w:val="num" w:pos="-720"/>
        </w:tabs>
        <w:ind w:left="283" w:hanging="28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FF6480"/>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59624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3873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6C3E7F"/>
    <w:multiLevelType w:val="hybridMultilevel"/>
    <w:tmpl w:val="B0E6D8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773B60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CC7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DD63BFD"/>
    <w:multiLevelType w:val="hybridMultilevel"/>
    <w:tmpl w:val="26282BE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FDE36B5"/>
    <w:multiLevelType w:val="singleLevel"/>
    <w:tmpl w:val="08090001"/>
    <w:lvl w:ilvl="0">
      <w:start w:val="1"/>
      <w:numFmt w:val="bullet"/>
      <w:lvlText w:val=""/>
      <w:lvlJc w:val="left"/>
      <w:pPr>
        <w:ind w:left="720" w:hanging="360"/>
      </w:pPr>
      <w:rPr>
        <w:rFonts w:ascii="Symbol" w:hAnsi="Symbol" w:hint="default"/>
      </w:rPr>
    </w:lvl>
  </w:abstractNum>
  <w:num w:numId="1">
    <w:abstractNumId w:val="11"/>
  </w:num>
  <w:num w:numId="2">
    <w:abstractNumId w:val="26"/>
  </w:num>
  <w:num w:numId="3">
    <w:abstractNumId w:val="14"/>
  </w:num>
  <w:num w:numId="4">
    <w:abstractNumId w:val="23"/>
  </w:num>
  <w:num w:numId="5">
    <w:abstractNumId w:val="3"/>
  </w:num>
  <w:num w:numId="6">
    <w:abstractNumId w:val="5"/>
  </w:num>
  <w:num w:numId="7">
    <w:abstractNumId w:val="30"/>
  </w:num>
  <w:num w:numId="8">
    <w:abstractNumId w:val="7"/>
  </w:num>
  <w:num w:numId="9">
    <w:abstractNumId w:val="32"/>
  </w:num>
  <w:num w:numId="10">
    <w:abstractNumId w:val="0"/>
  </w:num>
  <w:num w:numId="11">
    <w:abstractNumId w:val="21"/>
  </w:num>
  <w:num w:numId="12">
    <w:abstractNumId w:val="24"/>
  </w:num>
  <w:num w:numId="13">
    <w:abstractNumId w:val="13"/>
  </w:num>
  <w:num w:numId="14">
    <w:abstractNumId w:val="10"/>
  </w:num>
  <w:num w:numId="15">
    <w:abstractNumId w:val="28"/>
  </w:num>
  <w:num w:numId="16">
    <w:abstractNumId w:val="9"/>
  </w:num>
  <w:num w:numId="17">
    <w:abstractNumId w:val="22"/>
  </w:num>
  <w:num w:numId="18">
    <w:abstractNumId w:val="18"/>
  </w:num>
  <w:num w:numId="19">
    <w:abstractNumId w:val="25"/>
  </w:num>
  <w:num w:numId="20">
    <w:abstractNumId w:val="8"/>
  </w:num>
  <w:num w:numId="21">
    <w:abstractNumId w:val="16"/>
  </w:num>
  <w:num w:numId="22">
    <w:abstractNumId w:val="29"/>
  </w:num>
  <w:num w:numId="23">
    <w:abstractNumId w:val="12"/>
  </w:num>
  <w:num w:numId="24">
    <w:abstractNumId w:val="17"/>
  </w:num>
  <w:num w:numId="25">
    <w:abstractNumId w:val="19"/>
  </w:num>
  <w:num w:numId="26">
    <w:abstractNumId w:val="27"/>
  </w:num>
  <w:num w:numId="27">
    <w:abstractNumId w:val="15"/>
  </w:num>
  <w:num w:numId="28">
    <w:abstractNumId w:val="2"/>
  </w:num>
  <w:num w:numId="29">
    <w:abstractNumId w:val="4"/>
  </w:num>
  <w:num w:numId="30">
    <w:abstractNumId w:val="6"/>
  </w:num>
  <w:num w:numId="31">
    <w:abstractNumId w:val="31"/>
  </w:num>
  <w:num w:numId="32">
    <w:abstractNumId w:val="2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03D12"/>
    <w:rsid w:val="000212ED"/>
    <w:rsid w:val="00021878"/>
    <w:rsid w:val="000250B6"/>
    <w:rsid w:val="0003261D"/>
    <w:rsid w:val="00037E50"/>
    <w:rsid w:val="00061DFB"/>
    <w:rsid w:val="000742B2"/>
    <w:rsid w:val="000915F3"/>
    <w:rsid w:val="00097EFD"/>
    <w:rsid w:val="000B63B1"/>
    <w:rsid w:val="000D5AAF"/>
    <w:rsid w:val="000E2618"/>
    <w:rsid w:val="000E4F6D"/>
    <w:rsid w:val="000F4AF7"/>
    <w:rsid w:val="001000FF"/>
    <w:rsid w:val="00114F3C"/>
    <w:rsid w:val="001252F3"/>
    <w:rsid w:val="00126593"/>
    <w:rsid w:val="0013254F"/>
    <w:rsid w:val="00143DB1"/>
    <w:rsid w:val="00145E53"/>
    <w:rsid w:val="001571F0"/>
    <w:rsid w:val="00170100"/>
    <w:rsid w:val="00175CA5"/>
    <w:rsid w:val="0018031F"/>
    <w:rsid w:val="00181FFE"/>
    <w:rsid w:val="00185B36"/>
    <w:rsid w:val="001876A5"/>
    <w:rsid w:val="00193C10"/>
    <w:rsid w:val="001A7E0C"/>
    <w:rsid w:val="001C5904"/>
    <w:rsid w:val="001E2D75"/>
    <w:rsid w:val="001F3695"/>
    <w:rsid w:val="00202F70"/>
    <w:rsid w:val="0021172E"/>
    <w:rsid w:val="002209C7"/>
    <w:rsid w:val="00265AD6"/>
    <w:rsid w:val="00266FDA"/>
    <w:rsid w:val="002759B6"/>
    <w:rsid w:val="00277C6E"/>
    <w:rsid w:val="002A17E7"/>
    <w:rsid w:val="002D1897"/>
    <w:rsid w:val="002D4315"/>
    <w:rsid w:val="002D4917"/>
    <w:rsid w:val="002E2B21"/>
    <w:rsid w:val="002E3946"/>
    <w:rsid w:val="002E7EF0"/>
    <w:rsid w:val="002F210A"/>
    <w:rsid w:val="00303F14"/>
    <w:rsid w:val="00324CB3"/>
    <w:rsid w:val="00325F3C"/>
    <w:rsid w:val="00327A65"/>
    <w:rsid w:val="00327D86"/>
    <w:rsid w:val="003354E3"/>
    <w:rsid w:val="00342E44"/>
    <w:rsid w:val="003667F6"/>
    <w:rsid w:val="003729F1"/>
    <w:rsid w:val="00393051"/>
    <w:rsid w:val="003967EB"/>
    <w:rsid w:val="003A683E"/>
    <w:rsid w:val="003B1EF4"/>
    <w:rsid w:val="003C08A2"/>
    <w:rsid w:val="003F18AD"/>
    <w:rsid w:val="003F432C"/>
    <w:rsid w:val="003F66AE"/>
    <w:rsid w:val="003F76AB"/>
    <w:rsid w:val="00400CA9"/>
    <w:rsid w:val="0040373A"/>
    <w:rsid w:val="004056EA"/>
    <w:rsid w:val="004071C7"/>
    <w:rsid w:val="00427E9E"/>
    <w:rsid w:val="00432F09"/>
    <w:rsid w:val="00436C22"/>
    <w:rsid w:val="004537F5"/>
    <w:rsid w:val="0045694A"/>
    <w:rsid w:val="00476D1C"/>
    <w:rsid w:val="00486CD5"/>
    <w:rsid w:val="004B5D4E"/>
    <w:rsid w:val="004C1E7D"/>
    <w:rsid w:val="004C2D3D"/>
    <w:rsid w:val="004C3FEB"/>
    <w:rsid w:val="004D5F24"/>
    <w:rsid w:val="004E10C8"/>
    <w:rsid w:val="004E2877"/>
    <w:rsid w:val="004F549A"/>
    <w:rsid w:val="00520533"/>
    <w:rsid w:val="0052300C"/>
    <w:rsid w:val="0053289F"/>
    <w:rsid w:val="005472AA"/>
    <w:rsid w:val="00550403"/>
    <w:rsid w:val="0055075E"/>
    <w:rsid w:val="00553434"/>
    <w:rsid w:val="005605D9"/>
    <w:rsid w:val="00564752"/>
    <w:rsid w:val="00591873"/>
    <w:rsid w:val="00596895"/>
    <w:rsid w:val="005C29B6"/>
    <w:rsid w:val="005D0040"/>
    <w:rsid w:val="005D19DD"/>
    <w:rsid w:val="005D3241"/>
    <w:rsid w:val="005E3CD5"/>
    <w:rsid w:val="005F1F8C"/>
    <w:rsid w:val="005F3BFF"/>
    <w:rsid w:val="00624BB1"/>
    <w:rsid w:val="0062748D"/>
    <w:rsid w:val="00654F01"/>
    <w:rsid w:val="006563AA"/>
    <w:rsid w:val="00671E10"/>
    <w:rsid w:val="00672340"/>
    <w:rsid w:val="006860F5"/>
    <w:rsid w:val="00694B33"/>
    <w:rsid w:val="00697D52"/>
    <w:rsid w:val="00697E0C"/>
    <w:rsid w:val="006B6B74"/>
    <w:rsid w:val="006C744F"/>
    <w:rsid w:val="006D3BF2"/>
    <w:rsid w:val="006E0703"/>
    <w:rsid w:val="0070498B"/>
    <w:rsid w:val="007262BA"/>
    <w:rsid w:val="00734173"/>
    <w:rsid w:val="007423CB"/>
    <w:rsid w:val="00754A24"/>
    <w:rsid w:val="007757E5"/>
    <w:rsid w:val="007A186F"/>
    <w:rsid w:val="007A2613"/>
    <w:rsid w:val="007B2257"/>
    <w:rsid w:val="007B2885"/>
    <w:rsid w:val="007B2EB4"/>
    <w:rsid w:val="007B5F0D"/>
    <w:rsid w:val="007D0D90"/>
    <w:rsid w:val="007D51C8"/>
    <w:rsid w:val="007D76A3"/>
    <w:rsid w:val="007E2AE9"/>
    <w:rsid w:val="007E6D7B"/>
    <w:rsid w:val="007F2562"/>
    <w:rsid w:val="007F3454"/>
    <w:rsid w:val="0080052C"/>
    <w:rsid w:val="00802340"/>
    <w:rsid w:val="00802653"/>
    <w:rsid w:val="00807547"/>
    <w:rsid w:val="00833814"/>
    <w:rsid w:val="00837669"/>
    <w:rsid w:val="008378AB"/>
    <w:rsid w:val="00863360"/>
    <w:rsid w:val="00863DF8"/>
    <w:rsid w:val="00884BB7"/>
    <w:rsid w:val="00890453"/>
    <w:rsid w:val="0089363A"/>
    <w:rsid w:val="008A1C12"/>
    <w:rsid w:val="008A2584"/>
    <w:rsid w:val="008A3286"/>
    <w:rsid w:val="008B15A4"/>
    <w:rsid w:val="008B79ED"/>
    <w:rsid w:val="008C10B5"/>
    <w:rsid w:val="008F377D"/>
    <w:rsid w:val="009006AB"/>
    <w:rsid w:val="00900E3A"/>
    <w:rsid w:val="00903416"/>
    <w:rsid w:val="00911056"/>
    <w:rsid w:val="009118A1"/>
    <w:rsid w:val="0091324B"/>
    <w:rsid w:val="009336F0"/>
    <w:rsid w:val="00935F30"/>
    <w:rsid w:val="00946E2A"/>
    <w:rsid w:val="009563F7"/>
    <w:rsid w:val="0096776B"/>
    <w:rsid w:val="00970887"/>
    <w:rsid w:val="00993EB4"/>
    <w:rsid w:val="009C740F"/>
    <w:rsid w:val="009F7258"/>
    <w:rsid w:val="00A1314A"/>
    <w:rsid w:val="00A142E0"/>
    <w:rsid w:val="00A1628E"/>
    <w:rsid w:val="00A45915"/>
    <w:rsid w:val="00A569AC"/>
    <w:rsid w:val="00A64E40"/>
    <w:rsid w:val="00A7398D"/>
    <w:rsid w:val="00A803F6"/>
    <w:rsid w:val="00A912A9"/>
    <w:rsid w:val="00A91962"/>
    <w:rsid w:val="00A95C48"/>
    <w:rsid w:val="00AA1DFA"/>
    <w:rsid w:val="00AA7827"/>
    <w:rsid w:val="00AE7EDD"/>
    <w:rsid w:val="00B00D23"/>
    <w:rsid w:val="00B01915"/>
    <w:rsid w:val="00B02B23"/>
    <w:rsid w:val="00B61CC4"/>
    <w:rsid w:val="00B86577"/>
    <w:rsid w:val="00B927F1"/>
    <w:rsid w:val="00BF7E9C"/>
    <w:rsid w:val="00C36AA6"/>
    <w:rsid w:val="00C579E3"/>
    <w:rsid w:val="00C7700F"/>
    <w:rsid w:val="00C77D7B"/>
    <w:rsid w:val="00C81DDD"/>
    <w:rsid w:val="00CA32D9"/>
    <w:rsid w:val="00CB0369"/>
    <w:rsid w:val="00CB4D98"/>
    <w:rsid w:val="00CB66A9"/>
    <w:rsid w:val="00CE7ACD"/>
    <w:rsid w:val="00CE7D01"/>
    <w:rsid w:val="00CE7F73"/>
    <w:rsid w:val="00CF31D6"/>
    <w:rsid w:val="00CF68E1"/>
    <w:rsid w:val="00D06A46"/>
    <w:rsid w:val="00D24423"/>
    <w:rsid w:val="00D4791C"/>
    <w:rsid w:val="00D510E9"/>
    <w:rsid w:val="00D8165C"/>
    <w:rsid w:val="00DA435E"/>
    <w:rsid w:val="00DA58DC"/>
    <w:rsid w:val="00DE3EAD"/>
    <w:rsid w:val="00DF5B55"/>
    <w:rsid w:val="00E17125"/>
    <w:rsid w:val="00E254ED"/>
    <w:rsid w:val="00E46D18"/>
    <w:rsid w:val="00E47E93"/>
    <w:rsid w:val="00E63DCE"/>
    <w:rsid w:val="00E64355"/>
    <w:rsid w:val="00E87F39"/>
    <w:rsid w:val="00E922D5"/>
    <w:rsid w:val="00E9392F"/>
    <w:rsid w:val="00EA289E"/>
    <w:rsid w:val="00EA3161"/>
    <w:rsid w:val="00EA4B66"/>
    <w:rsid w:val="00EA5E50"/>
    <w:rsid w:val="00EC3511"/>
    <w:rsid w:val="00EE28E8"/>
    <w:rsid w:val="00EE7303"/>
    <w:rsid w:val="00F23A18"/>
    <w:rsid w:val="00F27CC2"/>
    <w:rsid w:val="00F30DAF"/>
    <w:rsid w:val="00F34AD9"/>
    <w:rsid w:val="00F37580"/>
    <w:rsid w:val="00F43B53"/>
    <w:rsid w:val="00F45FCD"/>
    <w:rsid w:val="00F64DCD"/>
    <w:rsid w:val="00F75694"/>
    <w:rsid w:val="00F80FD7"/>
    <w:rsid w:val="00F906F9"/>
    <w:rsid w:val="00F92F02"/>
    <w:rsid w:val="00F97251"/>
    <w:rsid w:val="00FB11BE"/>
    <w:rsid w:val="00FB737B"/>
    <w:rsid w:val="00FD1872"/>
    <w:rsid w:val="00FE002C"/>
    <w:rsid w:val="00FE1BBF"/>
    <w:rsid w:val="00FE2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22CE9F"/>
  <w15:docId w15:val="{E07CA92B-8C8D-41F0-BCBB-BEFCD894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550403"/>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175CA5"/>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uiPriority w:val="9"/>
    <w:semiHidden/>
    <w:unhideWhenUsed/>
    <w:qFormat/>
    <w:rsid w:val="00175CA5"/>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unhideWhenUsed/>
    <w:qFormat/>
    <w:rsid w:val="00550403"/>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86336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style>
  <w:style w:type="character" w:customStyle="1" w:styleId="BodyTextChar">
    <w:name w:val="Body Text Char"/>
    <w:basedOn w:val="DefaultParagraphFont"/>
    <w:link w:val="BodyText"/>
    <w:uiPriority w:val="99"/>
    <w:semiHidden/>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unhideWhenUsed/>
    <w:rsid w:val="00550403"/>
    <w:pPr>
      <w:spacing w:after="120"/>
      <w:ind w:left="283"/>
    </w:pPr>
  </w:style>
  <w:style w:type="character" w:customStyle="1" w:styleId="BodyTextIndentChar">
    <w:name w:val="Body Text Indent Char"/>
    <w:basedOn w:val="DefaultParagraphFont"/>
    <w:link w:val="BodyTextIndent"/>
    <w:uiPriority w:val="99"/>
    <w:rsid w:val="00550403"/>
    <w:rPr>
      <w:sz w:val="24"/>
      <w:szCs w:val="24"/>
      <w:lang w:eastAsia="en-US"/>
    </w:rPr>
  </w:style>
  <w:style w:type="character" w:customStyle="1" w:styleId="Heading2Char">
    <w:name w:val="Heading 2 Char"/>
    <w:basedOn w:val="DefaultParagraphFont"/>
    <w:link w:val="Heading2"/>
    <w:uiPriority w:val="9"/>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character" w:customStyle="1" w:styleId="Heading4Char">
    <w:name w:val="Heading 4 Char"/>
    <w:basedOn w:val="DefaultParagraphFont"/>
    <w:link w:val="Heading4"/>
    <w:uiPriority w:val="9"/>
    <w:rsid w:val="00175CA5"/>
    <w:rPr>
      <w:rFonts w:asciiTheme="minorHAnsi" w:eastAsiaTheme="minorEastAsia" w:hAnsiTheme="minorHAnsi" w:cstheme="minorBidi"/>
      <w:b/>
      <w:bCs/>
      <w:sz w:val="28"/>
      <w:szCs w:val="28"/>
      <w:lang w:eastAsia="en-US"/>
    </w:rPr>
  </w:style>
  <w:style w:type="character" w:customStyle="1" w:styleId="Heading6Char">
    <w:name w:val="Heading 6 Char"/>
    <w:basedOn w:val="DefaultParagraphFont"/>
    <w:link w:val="Heading6"/>
    <w:uiPriority w:val="9"/>
    <w:semiHidden/>
    <w:rsid w:val="00175CA5"/>
    <w:rPr>
      <w:rFonts w:asciiTheme="minorHAnsi" w:eastAsiaTheme="minorEastAsia" w:hAnsiTheme="minorHAnsi" w:cstheme="minorBidi"/>
      <w:b/>
      <w:bCs/>
      <w:sz w:val="22"/>
      <w:szCs w:val="22"/>
      <w:lang w:eastAsia="en-US"/>
    </w:rPr>
  </w:style>
  <w:style w:type="paragraph" w:styleId="BodyText2">
    <w:name w:val="Body Text 2"/>
    <w:basedOn w:val="Normal"/>
    <w:link w:val="BodyText2Char"/>
    <w:uiPriority w:val="99"/>
    <w:unhideWhenUsed/>
    <w:rsid w:val="00175CA5"/>
    <w:pPr>
      <w:spacing w:after="120" w:line="480" w:lineRule="auto"/>
    </w:pPr>
  </w:style>
  <w:style w:type="character" w:customStyle="1" w:styleId="BodyText2Char">
    <w:name w:val="Body Text 2 Char"/>
    <w:basedOn w:val="DefaultParagraphFont"/>
    <w:link w:val="BodyText2"/>
    <w:uiPriority w:val="99"/>
    <w:rsid w:val="00175CA5"/>
    <w:rPr>
      <w:sz w:val="24"/>
      <w:szCs w:val="24"/>
      <w:lang w:eastAsia="en-US"/>
    </w:rPr>
  </w:style>
  <w:style w:type="paragraph" w:styleId="BodyText3">
    <w:name w:val="Body Text 3"/>
    <w:basedOn w:val="Normal"/>
    <w:link w:val="BodyText3Char"/>
    <w:uiPriority w:val="99"/>
    <w:semiHidden/>
    <w:unhideWhenUsed/>
    <w:rsid w:val="00175CA5"/>
    <w:pPr>
      <w:spacing w:after="120"/>
    </w:pPr>
    <w:rPr>
      <w:sz w:val="16"/>
      <w:szCs w:val="16"/>
    </w:rPr>
  </w:style>
  <w:style w:type="character" w:customStyle="1" w:styleId="BodyText3Char">
    <w:name w:val="Body Text 3 Char"/>
    <w:basedOn w:val="DefaultParagraphFont"/>
    <w:link w:val="BodyText3"/>
    <w:uiPriority w:val="99"/>
    <w:semiHidden/>
    <w:rsid w:val="00175CA5"/>
    <w:rPr>
      <w:sz w:val="16"/>
      <w:szCs w:val="16"/>
      <w:lang w:eastAsia="en-US"/>
    </w:rPr>
  </w:style>
  <w:style w:type="paragraph" w:styleId="BalloonText">
    <w:name w:val="Balloon Text"/>
    <w:basedOn w:val="Normal"/>
    <w:link w:val="BalloonTextChar"/>
    <w:uiPriority w:val="99"/>
    <w:semiHidden/>
    <w:unhideWhenUsed/>
    <w:rsid w:val="00863360"/>
    <w:rPr>
      <w:rFonts w:ascii="Tahoma" w:hAnsi="Tahoma" w:cs="Tahoma"/>
      <w:sz w:val="16"/>
      <w:szCs w:val="16"/>
    </w:rPr>
  </w:style>
  <w:style w:type="character" w:customStyle="1" w:styleId="BalloonTextChar">
    <w:name w:val="Balloon Text Char"/>
    <w:basedOn w:val="DefaultParagraphFont"/>
    <w:link w:val="BalloonText"/>
    <w:uiPriority w:val="99"/>
    <w:semiHidden/>
    <w:rsid w:val="00863360"/>
    <w:rPr>
      <w:rFonts w:ascii="Tahoma" w:hAnsi="Tahoma" w:cs="Tahoma"/>
      <w:sz w:val="16"/>
      <w:szCs w:val="16"/>
      <w:lang w:eastAsia="en-US"/>
    </w:rPr>
  </w:style>
  <w:style w:type="character" w:customStyle="1" w:styleId="Heading8Char">
    <w:name w:val="Heading 8 Char"/>
    <w:basedOn w:val="DefaultParagraphFont"/>
    <w:link w:val="Heading8"/>
    <w:uiPriority w:val="9"/>
    <w:semiHidden/>
    <w:rsid w:val="00863360"/>
    <w:rPr>
      <w:rFonts w:asciiTheme="majorHAnsi" w:eastAsiaTheme="majorEastAsia" w:hAnsiTheme="majorHAnsi" w:cstheme="majorBidi"/>
      <w:color w:val="404040" w:themeColor="text1" w:themeTint="BF"/>
      <w:lang w:eastAsia="en-US"/>
    </w:rPr>
  </w:style>
  <w:style w:type="paragraph" w:styleId="NoSpacing">
    <w:name w:val="No Spacing"/>
    <w:uiPriority w:val="1"/>
    <w:qFormat/>
    <w:rsid w:val="005E3CD5"/>
    <w:rPr>
      <w:sz w:val="24"/>
      <w:szCs w:val="24"/>
      <w:lang w:eastAsia="en-US"/>
    </w:rPr>
  </w:style>
  <w:style w:type="character" w:styleId="PageNumber">
    <w:name w:val="page number"/>
    <w:basedOn w:val="DefaultParagraphFont"/>
    <w:rsid w:val="00003D12"/>
  </w:style>
  <w:style w:type="table" w:styleId="TableGrid">
    <w:name w:val="Table Grid"/>
    <w:basedOn w:val="TableNormal"/>
    <w:rsid w:val="00003D1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569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9AC"/>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A569A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569AC"/>
    <w:rPr>
      <w:rFonts w:asciiTheme="minorHAnsi" w:eastAsiaTheme="minorEastAsia" w:hAnsiTheme="minorHAnsi" w:cstheme="minorBidi"/>
      <w:color w:val="5A5A5A" w:themeColor="text1" w:themeTint="A5"/>
      <w:spacing w:val="15"/>
      <w:sz w:val="22"/>
      <w:szCs w:val="22"/>
      <w:lang w:eastAsia="en-US"/>
    </w:rPr>
  </w:style>
  <w:style w:type="character" w:styleId="CommentReference">
    <w:name w:val="annotation reference"/>
    <w:basedOn w:val="DefaultParagraphFont"/>
    <w:uiPriority w:val="99"/>
    <w:semiHidden/>
    <w:unhideWhenUsed/>
    <w:rsid w:val="00436C22"/>
    <w:rPr>
      <w:sz w:val="16"/>
      <w:szCs w:val="16"/>
    </w:rPr>
  </w:style>
  <w:style w:type="paragraph" w:styleId="CommentText">
    <w:name w:val="annotation text"/>
    <w:basedOn w:val="Normal"/>
    <w:link w:val="CommentTextChar"/>
    <w:uiPriority w:val="99"/>
    <w:semiHidden/>
    <w:unhideWhenUsed/>
    <w:rsid w:val="00436C22"/>
    <w:rPr>
      <w:sz w:val="20"/>
      <w:szCs w:val="20"/>
    </w:rPr>
  </w:style>
  <w:style w:type="character" w:customStyle="1" w:styleId="CommentTextChar">
    <w:name w:val="Comment Text Char"/>
    <w:basedOn w:val="DefaultParagraphFont"/>
    <w:link w:val="CommentText"/>
    <w:uiPriority w:val="99"/>
    <w:semiHidden/>
    <w:rsid w:val="00436C22"/>
    <w:rPr>
      <w:lang w:eastAsia="en-US"/>
    </w:rPr>
  </w:style>
  <w:style w:type="paragraph" w:styleId="CommentSubject">
    <w:name w:val="annotation subject"/>
    <w:basedOn w:val="CommentText"/>
    <w:next w:val="CommentText"/>
    <w:link w:val="CommentSubjectChar"/>
    <w:uiPriority w:val="99"/>
    <w:semiHidden/>
    <w:unhideWhenUsed/>
    <w:rsid w:val="00436C22"/>
    <w:rPr>
      <w:b/>
      <w:bCs/>
    </w:rPr>
  </w:style>
  <w:style w:type="character" w:customStyle="1" w:styleId="CommentSubjectChar">
    <w:name w:val="Comment Subject Char"/>
    <w:basedOn w:val="CommentTextChar"/>
    <w:link w:val="CommentSubject"/>
    <w:uiPriority w:val="99"/>
    <w:semiHidden/>
    <w:rsid w:val="00436C22"/>
    <w:rPr>
      <w:b/>
      <w:bCs/>
      <w:lang w:eastAsia="en-US"/>
    </w:rPr>
  </w:style>
  <w:style w:type="paragraph" w:styleId="Revision">
    <w:name w:val="Revision"/>
    <w:hidden/>
    <w:uiPriority w:val="99"/>
    <w:semiHidden/>
    <w:rsid w:val="002D4315"/>
    <w:rPr>
      <w:sz w:val="24"/>
      <w:szCs w:val="24"/>
      <w:lang w:eastAsia="en-US"/>
    </w:rPr>
  </w:style>
  <w:style w:type="character" w:styleId="Hyperlink">
    <w:name w:val="Hyperlink"/>
    <w:basedOn w:val="DefaultParagraphFont"/>
    <w:uiPriority w:val="99"/>
    <w:unhideWhenUsed/>
    <w:rsid w:val="006D3B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header" Target="header1.xml" /><Relationship Id="rId3" Type="http://schemas.openxmlformats.org/officeDocument/2006/relationships/styles" Target="styles.xml" /><Relationship Id="rId21" Type="http://schemas.openxmlformats.org/officeDocument/2006/relationships/image" Target="media/image10.png"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eader" Target="header2.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8.png" /><Relationship Id="rId23" Type="http://schemas.openxmlformats.org/officeDocument/2006/relationships/theme" Target="theme/theme1.xml" /><Relationship Id="rId10" Type="http://schemas.openxmlformats.org/officeDocument/2006/relationships/image" Target="media/image3.png"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 Id="rId22"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3ACFADCE-B451-4575-A248-4A2EF3FE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16841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it0017</dc:creator>
  <cp:lastModifiedBy>Rebecca Pollock (AA Medical Directorate)</cp:lastModifiedBy>
  <cp:revision>2</cp:revision>
  <cp:lastPrinted>2015-10-14T12:32:00Z</cp:lastPrinted>
  <dcterms:created xsi:type="dcterms:W3CDTF">2023-05-16T07:17:00Z</dcterms:created>
  <dcterms:modified xsi:type="dcterms:W3CDTF">2023-05-16T07:17:00Z</dcterms:modified>
</cp:coreProperties>
</file>