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6CDE2108"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391ABF">
        <w:rPr>
          <w:rFonts w:ascii="Calibri" w:hAnsi="Calibri" w:cs="Arial"/>
          <w:b/>
          <w:color w:val="002060"/>
          <w:sz w:val="48"/>
          <w:szCs w:val="22"/>
        </w:rPr>
        <w:t>Pathology</w:t>
      </w:r>
    </w:p>
    <w:p w14:paraId="309776DC" w14:textId="4AA3115E"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391ABF">
        <w:rPr>
          <w:rFonts w:ascii="Calibri" w:hAnsi="Calibri" w:cs="Arial"/>
          <w:b/>
          <w:color w:val="002060"/>
          <w:sz w:val="48"/>
          <w:szCs w:val="22"/>
        </w:rPr>
        <w:t>Queen Elizabeth University Hospital</w:t>
      </w:r>
    </w:p>
    <w:p w14:paraId="3DB7B143" w14:textId="6BEC95B1"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391ABF">
        <w:rPr>
          <w:rFonts w:ascii="Calibri" w:hAnsi="Calibri" w:cs="Arial"/>
          <w:b/>
          <w:color w:val="002060"/>
          <w:sz w:val="48"/>
          <w:szCs w:val="22"/>
        </w:rPr>
        <w:t>152903</w:t>
      </w:r>
    </w:p>
    <w:p w14:paraId="4B181AED" w14:textId="68FDA0A6"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391ABF">
        <w:rPr>
          <w:rFonts w:ascii="Calibri" w:hAnsi="Calibri" w:cs="Arial"/>
          <w:b/>
          <w:color w:val="002060"/>
          <w:sz w:val="48"/>
          <w:szCs w:val="22"/>
        </w:rPr>
        <w:t xml:space="preserve"> 31</w:t>
      </w:r>
      <w:r w:rsidR="00391ABF" w:rsidRPr="00391ABF">
        <w:rPr>
          <w:rFonts w:ascii="Calibri" w:hAnsi="Calibri" w:cs="Arial"/>
          <w:b/>
          <w:color w:val="002060"/>
          <w:sz w:val="48"/>
          <w:szCs w:val="22"/>
          <w:vertAlign w:val="superscript"/>
        </w:rPr>
        <w:t>st</w:t>
      </w:r>
      <w:r w:rsidR="00481382">
        <w:rPr>
          <w:rFonts w:ascii="Calibri" w:hAnsi="Calibri" w:cs="Arial"/>
          <w:b/>
          <w:color w:val="002060"/>
          <w:sz w:val="48"/>
          <w:szCs w:val="22"/>
        </w:rPr>
        <w:t xml:space="preserve"> July</w:t>
      </w:r>
      <w:bookmarkStart w:id="0" w:name="_GoBack"/>
      <w:bookmarkEnd w:id="0"/>
      <w:r w:rsidR="00391ABF">
        <w:rPr>
          <w:rFonts w:ascii="Calibri" w:hAnsi="Calibri" w:cs="Arial"/>
          <w:b/>
          <w:color w:val="002060"/>
          <w:sz w:val="48"/>
          <w:szCs w:val="22"/>
        </w:rPr>
        <w:t xml:space="preserve"> 2023</w:t>
      </w:r>
    </w:p>
    <w:p w14:paraId="76CDC9CA" w14:textId="3CDBC79B"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391ABF">
        <w:rPr>
          <w:rFonts w:ascii="Calibri" w:hAnsi="Calibri" w:cs="Arial"/>
          <w:b/>
          <w:color w:val="002060"/>
          <w:sz w:val="48"/>
          <w:szCs w:val="22"/>
        </w:rPr>
        <w:t>16</w:t>
      </w:r>
      <w:r w:rsidR="00391ABF" w:rsidRPr="00391ABF">
        <w:rPr>
          <w:rFonts w:ascii="Calibri" w:hAnsi="Calibri" w:cs="Arial"/>
          <w:b/>
          <w:color w:val="002060"/>
          <w:sz w:val="48"/>
          <w:szCs w:val="22"/>
          <w:vertAlign w:val="superscript"/>
        </w:rPr>
        <w:t>th</w:t>
      </w:r>
      <w:r w:rsidR="00391ABF">
        <w:rPr>
          <w:rFonts w:ascii="Calibri" w:hAnsi="Calibri" w:cs="Arial"/>
          <w:b/>
          <w:color w:val="002060"/>
          <w:sz w:val="48"/>
          <w:szCs w:val="22"/>
        </w:rPr>
        <w:t xml:space="preserve"> August</w:t>
      </w:r>
      <w:r w:rsidR="00391ABF" w:rsidRPr="008A52ED">
        <w:rPr>
          <w:rFonts w:ascii="Calibri" w:hAnsi="Calibri" w:cs="Arial"/>
          <w:b/>
          <w:color w:val="002060"/>
          <w:sz w:val="48"/>
          <w:szCs w:val="22"/>
        </w:rPr>
        <w:t xml:space="preserve"> </w:t>
      </w:r>
      <w:r w:rsidR="00391ABF">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A9006B">
        <w:trPr>
          <w:trHeight w:val="375"/>
        </w:trPr>
        <w:tc>
          <w:tcPr>
            <w:tcW w:w="2160" w:type="dxa"/>
          </w:tcPr>
          <w:p w14:paraId="4FD092A8" w14:textId="20A6209A" w:rsidR="00BF2B07" w:rsidRPr="006D5D7B" w:rsidRDefault="00391ABF" w:rsidP="00781201">
            <w:pPr>
              <w:pStyle w:val="Default"/>
            </w:pPr>
            <w:r>
              <w:t>Dr Fiona Roberts</w:t>
            </w:r>
          </w:p>
        </w:tc>
        <w:tc>
          <w:tcPr>
            <w:tcW w:w="2552" w:type="dxa"/>
          </w:tcPr>
          <w:p w14:paraId="0F97258E" w14:textId="203D6E9E" w:rsidR="00BF2B07" w:rsidRPr="006D5D7B" w:rsidRDefault="00391ABF" w:rsidP="00303A7F">
            <w:pPr>
              <w:pStyle w:val="Default"/>
              <w:ind w:left="12" w:hanging="12"/>
            </w:pPr>
            <w:r>
              <w:t>Head of Service</w:t>
            </w:r>
          </w:p>
        </w:tc>
        <w:tc>
          <w:tcPr>
            <w:tcW w:w="4110" w:type="dxa"/>
          </w:tcPr>
          <w:p w14:paraId="348868FE" w14:textId="66E5D529" w:rsidR="00BF2B07" w:rsidRPr="006D5D7B" w:rsidRDefault="00391ABF" w:rsidP="00781201">
            <w:pPr>
              <w:pStyle w:val="Default"/>
              <w:ind w:left="12" w:hanging="12"/>
            </w:pPr>
            <w:r>
              <w:t>Fiona.roberts@ggc.scot.nhs.uk</w:t>
            </w:r>
          </w:p>
        </w:tc>
        <w:tc>
          <w:tcPr>
            <w:tcW w:w="1985" w:type="dxa"/>
          </w:tcPr>
          <w:p w14:paraId="703098C9" w14:textId="1A2F84E7" w:rsidR="00BF2B07" w:rsidRPr="006D5D7B" w:rsidRDefault="00391ABF" w:rsidP="00F913E1">
            <w:pPr>
              <w:pStyle w:val="Default"/>
              <w:ind w:firstLine="15"/>
            </w:pPr>
            <w:r>
              <w:t>0141 354 9512</w:t>
            </w:r>
          </w:p>
        </w:tc>
      </w:tr>
    </w:tbl>
    <w:p w14:paraId="45330E19" w14:textId="77777777" w:rsidR="00BF2B07" w:rsidRDefault="00BF2B07" w:rsidP="00BF2B07">
      <w:pPr>
        <w:rPr>
          <w:rFonts w:ascii="Arial" w:hAnsi="Arial" w:cs="Arial"/>
          <w:b/>
          <w:bCs/>
          <w:sz w:val="22"/>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10829824" w14:textId="77777777" w:rsidR="00481382" w:rsidRDefault="00481382"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422D7B4B" w14:textId="4ACBD45A" w:rsidR="00391ABF" w:rsidRPr="00391ABF" w:rsidRDefault="00391ABF" w:rsidP="00391ABF">
      <w:pPr>
        <w:pStyle w:val="BodyText"/>
        <w:spacing w:line="360" w:lineRule="auto"/>
        <w:rPr>
          <w:rFonts w:ascii="Arial" w:hAnsi="Arial" w:cs="Arial"/>
          <w:bCs/>
          <w:color w:val="002060"/>
          <w:sz w:val="22"/>
          <w:szCs w:val="22"/>
        </w:rPr>
      </w:pPr>
      <w:r w:rsidRPr="00391ABF">
        <w:rPr>
          <w:rFonts w:ascii="Arial" w:hAnsi="Arial" w:cs="Arial"/>
          <w:bCs/>
          <w:color w:val="002060"/>
          <w:sz w:val="22"/>
          <w:szCs w:val="22"/>
        </w:rPr>
        <w:t xml:space="preserve">NHS Greater Glasgow and Clyde is one of the UK’s largest providers of NHS health care in Acute, Primary and Community Health, Mental Health, Addiction and Homelessness Services.  We serve a population of 1.2 million covering 8 local authority areas which include the City of Glasgow as well as incorporating both urban and rural areas from East Dunbartonshire to </w:t>
      </w:r>
      <w:proofErr w:type="spellStart"/>
      <w:r w:rsidRPr="00391ABF">
        <w:rPr>
          <w:rFonts w:ascii="Arial" w:hAnsi="Arial" w:cs="Arial"/>
          <w:bCs/>
          <w:color w:val="002060"/>
          <w:sz w:val="22"/>
          <w:szCs w:val="22"/>
        </w:rPr>
        <w:t>Inverclyde</w:t>
      </w:r>
      <w:proofErr w:type="spellEnd"/>
      <w:r w:rsidRPr="00391ABF">
        <w:rPr>
          <w:rFonts w:ascii="Arial" w:hAnsi="Arial" w:cs="Arial"/>
          <w:bCs/>
          <w:color w:val="002060"/>
          <w:sz w:val="22"/>
          <w:szCs w:val="22"/>
        </w:rPr>
        <w:t>.</w:t>
      </w:r>
    </w:p>
    <w:p w14:paraId="537A3A47" w14:textId="28BD367B" w:rsidR="00391ABF" w:rsidRPr="00391ABF" w:rsidRDefault="00391ABF" w:rsidP="00391ABF">
      <w:pPr>
        <w:pStyle w:val="BodyText"/>
        <w:spacing w:line="360" w:lineRule="auto"/>
        <w:rPr>
          <w:rFonts w:ascii="Arial" w:hAnsi="Arial" w:cs="Arial"/>
          <w:bCs/>
          <w:color w:val="002060"/>
          <w:sz w:val="22"/>
          <w:szCs w:val="22"/>
        </w:rPr>
      </w:pPr>
      <w:r w:rsidRPr="00391ABF">
        <w:rPr>
          <w:rFonts w:ascii="Arial" w:hAnsi="Arial" w:cs="Arial"/>
          <w:bCs/>
          <w:color w:val="002060"/>
          <w:sz w:val="22"/>
          <w:szCs w:val="22"/>
        </w:rPr>
        <w:t xml:space="preserve">There are eight major teaching hospital sites plus seven other hospital sites, providing teaching and research facilities for medical, nursing and allied health professions.  </w:t>
      </w:r>
    </w:p>
    <w:p w14:paraId="7DBFE31D" w14:textId="7DDFC6AD"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Resources within Glasgow are concentrated on three sites (Glasgow Royal Infirmary, </w:t>
      </w:r>
      <w:proofErr w:type="spellStart"/>
      <w:r w:rsidRPr="00391ABF">
        <w:rPr>
          <w:rFonts w:ascii="Arial" w:hAnsi="Arial" w:cs="Arial"/>
          <w:color w:val="002060"/>
          <w:sz w:val="22"/>
          <w:szCs w:val="22"/>
        </w:rPr>
        <w:t>Gartnavel</w:t>
      </w:r>
      <w:proofErr w:type="spellEnd"/>
      <w:r w:rsidRPr="00391ABF">
        <w:rPr>
          <w:rFonts w:ascii="Arial" w:hAnsi="Arial" w:cs="Arial"/>
          <w:color w:val="002060"/>
          <w:sz w:val="22"/>
          <w:szCs w:val="22"/>
        </w:rPr>
        <w:t xml:space="preserve"> and Queen Elizabeth University Hospital Campuses) creating </w:t>
      </w:r>
      <w:proofErr w:type="spellStart"/>
      <w:r w:rsidRPr="00391ABF">
        <w:rPr>
          <w:rFonts w:ascii="Arial" w:hAnsi="Arial" w:cs="Arial"/>
          <w:color w:val="002060"/>
          <w:sz w:val="22"/>
          <w:szCs w:val="22"/>
        </w:rPr>
        <w:t>centres</w:t>
      </w:r>
      <w:proofErr w:type="spellEnd"/>
      <w:r w:rsidRPr="00391ABF">
        <w:rPr>
          <w:rFonts w:ascii="Arial" w:hAnsi="Arial" w:cs="Arial"/>
          <w:color w:val="002060"/>
          <w:sz w:val="22"/>
          <w:szCs w:val="22"/>
        </w:rPr>
        <w:t xml:space="preserve"> of excellence for surgical, medical and emergency care.  One location in particular - the new Queen Elizabeth University Hospital - is among the largest in the UK and is co-located with the new Royal Hospital for Children.  </w:t>
      </w:r>
    </w:p>
    <w:p w14:paraId="3F832ABB" w14:textId="77777777" w:rsidR="00391ABF" w:rsidRPr="00391ABF" w:rsidRDefault="00391ABF" w:rsidP="00391ABF">
      <w:pPr>
        <w:pStyle w:val="BodyText"/>
        <w:spacing w:after="0" w:line="360" w:lineRule="auto"/>
        <w:rPr>
          <w:rFonts w:ascii="Arial" w:hAnsi="Arial" w:cs="Arial"/>
          <w:b/>
          <w:color w:val="002060"/>
          <w:sz w:val="22"/>
          <w:szCs w:val="22"/>
          <w:u w:val="single"/>
        </w:rPr>
      </w:pPr>
      <w:r w:rsidRPr="00391ABF">
        <w:rPr>
          <w:rFonts w:ascii="Arial" w:hAnsi="Arial" w:cs="Arial"/>
          <w:b/>
          <w:color w:val="002060"/>
          <w:sz w:val="22"/>
          <w:szCs w:val="22"/>
          <w:u w:val="single"/>
        </w:rPr>
        <w:t>HOSPITAL(S) AND CLINIC(S) WHERE SERVICES ARE TO BE PROVIDED</w:t>
      </w:r>
    </w:p>
    <w:p w14:paraId="14A57466"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All Pathology services for NHS Glasgow and Clyde are provided from a single purpose built laboratory on the Queen Elizabeth University Hospital Campus which opened in May 2012.  In addition, Multidisciplinary Team Meetings (MDT) and </w:t>
      </w:r>
      <w:proofErr w:type="spellStart"/>
      <w:r w:rsidRPr="00391ABF">
        <w:rPr>
          <w:rFonts w:ascii="Arial" w:hAnsi="Arial" w:cs="Arial"/>
          <w:color w:val="002060"/>
          <w:sz w:val="22"/>
          <w:szCs w:val="22"/>
        </w:rPr>
        <w:t>Clinico</w:t>
      </w:r>
      <w:proofErr w:type="spellEnd"/>
      <w:r w:rsidRPr="00391ABF">
        <w:rPr>
          <w:rFonts w:ascii="Arial" w:hAnsi="Arial" w:cs="Arial"/>
          <w:color w:val="002060"/>
          <w:sz w:val="22"/>
          <w:szCs w:val="22"/>
        </w:rPr>
        <w:t>-Pathological Conferences (CPC) are held on all hospital sites although most of these meetings are currently undertaken by video-conference.</w:t>
      </w:r>
    </w:p>
    <w:p w14:paraId="03489E34"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The pathology services of NHS Greater Glasgow and Clyde are part of the Laboratory Medicine Department of the Diagnostic Directorate which forms part of the Acute Services Division. The Director of the Diagnostics Directorate is </w:t>
      </w:r>
      <w:proofErr w:type="spellStart"/>
      <w:r w:rsidRPr="00391ABF">
        <w:rPr>
          <w:rFonts w:ascii="Arial" w:hAnsi="Arial" w:cs="Arial"/>
          <w:color w:val="002060"/>
          <w:sz w:val="22"/>
          <w:szCs w:val="22"/>
        </w:rPr>
        <w:t>Ms</w:t>
      </w:r>
      <w:proofErr w:type="spellEnd"/>
      <w:r w:rsidRPr="00391ABF">
        <w:rPr>
          <w:rFonts w:ascii="Arial" w:hAnsi="Arial" w:cs="Arial"/>
          <w:color w:val="002060"/>
          <w:sz w:val="22"/>
          <w:szCs w:val="22"/>
        </w:rPr>
        <w:t xml:space="preserve"> Ann </w:t>
      </w:r>
      <w:proofErr w:type="spellStart"/>
      <w:r w:rsidRPr="00391ABF">
        <w:rPr>
          <w:rFonts w:ascii="Arial" w:hAnsi="Arial" w:cs="Arial"/>
          <w:color w:val="002060"/>
          <w:sz w:val="22"/>
          <w:szCs w:val="22"/>
        </w:rPr>
        <w:t>Traquair</w:t>
      </w:r>
      <w:proofErr w:type="spellEnd"/>
      <w:r w:rsidRPr="00391ABF">
        <w:rPr>
          <w:rFonts w:ascii="Arial" w:hAnsi="Arial" w:cs="Arial"/>
          <w:color w:val="002060"/>
          <w:sz w:val="22"/>
          <w:szCs w:val="22"/>
        </w:rPr>
        <w:t xml:space="preserve">-Smith and the General Manager for Laboratories is </w:t>
      </w:r>
      <w:proofErr w:type="spellStart"/>
      <w:r w:rsidRPr="00391ABF">
        <w:rPr>
          <w:rFonts w:ascii="Arial" w:hAnsi="Arial" w:cs="Arial"/>
          <w:color w:val="002060"/>
          <w:sz w:val="22"/>
          <w:szCs w:val="22"/>
        </w:rPr>
        <w:t>Mr</w:t>
      </w:r>
      <w:proofErr w:type="spellEnd"/>
      <w:r w:rsidRPr="00391ABF">
        <w:rPr>
          <w:rFonts w:ascii="Arial" w:hAnsi="Arial" w:cs="Arial"/>
          <w:color w:val="002060"/>
          <w:sz w:val="22"/>
          <w:szCs w:val="22"/>
        </w:rPr>
        <w:t xml:space="preserve"> Robert Gardiner, supported by an Associate Medical Director </w:t>
      </w:r>
      <w:proofErr w:type="spellStart"/>
      <w:r w:rsidRPr="00391ABF">
        <w:rPr>
          <w:rFonts w:ascii="Arial" w:hAnsi="Arial" w:cs="Arial"/>
          <w:color w:val="002060"/>
          <w:sz w:val="22"/>
          <w:szCs w:val="22"/>
        </w:rPr>
        <w:t>Dr</w:t>
      </w:r>
      <w:proofErr w:type="spellEnd"/>
      <w:r w:rsidRPr="00391ABF">
        <w:rPr>
          <w:rFonts w:ascii="Arial" w:hAnsi="Arial" w:cs="Arial"/>
          <w:color w:val="002060"/>
          <w:sz w:val="22"/>
          <w:szCs w:val="22"/>
        </w:rPr>
        <w:t xml:space="preserve"> Alistair </w:t>
      </w:r>
      <w:proofErr w:type="spellStart"/>
      <w:r w:rsidRPr="00391ABF">
        <w:rPr>
          <w:rFonts w:ascii="Arial" w:hAnsi="Arial" w:cs="Arial"/>
          <w:color w:val="002060"/>
          <w:sz w:val="22"/>
          <w:szCs w:val="22"/>
        </w:rPr>
        <w:t>Leanord</w:t>
      </w:r>
      <w:proofErr w:type="spellEnd"/>
      <w:r w:rsidRPr="00391ABF">
        <w:rPr>
          <w:rFonts w:ascii="Arial" w:hAnsi="Arial" w:cs="Arial"/>
          <w:color w:val="002060"/>
          <w:sz w:val="22"/>
          <w:szCs w:val="22"/>
        </w:rPr>
        <w:t xml:space="preserve"> and Clinical Director for Laboratories </w:t>
      </w:r>
      <w:proofErr w:type="spellStart"/>
      <w:r w:rsidRPr="00391ABF">
        <w:rPr>
          <w:rFonts w:ascii="Arial" w:hAnsi="Arial" w:cs="Arial"/>
          <w:color w:val="002060"/>
          <w:sz w:val="22"/>
          <w:szCs w:val="22"/>
        </w:rPr>
        <w:t>Dr</w:t>
      </w:r>
      <w:proofErr w:type="spellEnd"/>
      <w:r w:rsidRPr="00391ABF">
        <w:rPr>
          <w:rFonts w:ascii="Arial" w:hAnsi="Arial" w:cs="Arial"/>
          <w:color w:val="002060"/>
          <w:sz w:val="22"/>
          <w:szCs w:val="22"/>
        </w:rPr>
        <w:t xml:space="preserve"> Gareth Bryson.  The Head of Service for Pathology is Dr. Fiona Roberts. </w:t>
      </w:r>
    </w:p>
    <w:p w14:paraId="10382CD3"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This post is for a Consultant Pathologist to contribute to the pathology services provided by NHS Greater Glasgow and Clyde and will be based at the Queen Elizabeth University Hospital Campus. </w:t>
      </w:r>
    </w:p>
    <w:p w14:paraId="598A0F85" w14:textId="20824F38"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u w:val="single"/>
        </w:rPr>
        <w:t>THE WORK OF THE DEPARTMENT OF PATHOLOGY</w:t>
      </w:r>
    </w:p>
    <w:p w14:paraId="377B4395" w14:textId="4225E498" w:rsidR="00391ABF" w:rsidRPr="00391ABF" w:rsidRDefault="00391ABF" w:rsidP="00391ABF">
      <w:pPr>
        <w:tabs>
          <w:tab w:val="left" w:pos="9638"/>
        </w:tabs>
        <w:spacing w:line="360" w:lineRule="auto"/>
        <w:ind w:right="1558"/>
        <w:rPr>
          <w:rFonts w:ascii="Arial" w:hAnsi="Arial" w:cs="Arial"/>
          <w:b/>
          <w:color w:val="002060"/>
          <w:sz w:val="22"/>
          <w:szCs w:val="22"/>
        </w:rPr>
      </w:pPr>
      <w:r w:rsidRPr="00391ABF">
        <w:rPr>
          <w:rFonts w:ascii="Arial" w:hAnsi="Arial" w:cs="Arial"/>
          <w:b/>
          <w:color w:val="002060"/>
          <w:sz w:val="22"/>
          <w:szCs w:val="22"/>
        </w:rPr>
        <w:t>The Diagnostic Pathology Service</w:t>
      </w:r>
    </w:p>
    <w:p w14:paraId="0EDC8CFD"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The Department of Pathology provides a comprehensive Pathology service for NHS Greater Glasgow and Clyde. It also provides a regional and national pathology service in key areas particularly Ophthalmic Pathology, Neuropathology and </w:t>
      </w:r>
      <w:proofErr w:type="spellStart"/>
      <w:r w:rsidRPr="00391ABF">
        <w:rPr>
          <w:rFonts w:ascii="Arial" w:hAnsi="Arial" w:cs="Arial"/>
          <w:color w:val="002060"/>
          <w:sz w:val="22"/>
          <w:szCs w:val="22"/>
        </w:rPr>
        <w:t>Paediatric</w:t>
      </w:r>
      <w:proofErr w:type="spellEnd"/>
      <w:r w:rsidRPr="00391ABF">
        <w:rPr>
          <w:rFonts w:ascii="Arial" w:hAnsi="Arial" w:cs="Arial"/>
          <w:color w:val="002060"/>
          <w:sz w:val="22"/>
          <w:szCs w:val="22"/>
        </w:rPr>
        <w:t xml:space="preserve"> Pathology. Specimens are received from all anatomical areas and patient age groups.</w:t>
      </w:r>
    </w:p>
    <w:p w14:paraId="3E1981EE"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NHS Greater Glasgow and Clyde now provides an almost fully </w:t>
      </w:r>
      <w:proofErr w:type="spellStart"/>
      <w:r w:rsidRPr="00391ABF">
        <w:rPr>
          <w:rFonts w:ascii="Arial" w:hAnsi="Arial" w:cs="Arial"/>
          <w:color w:val="002060"/>
          <w:sz w:val="22"/>
          <w:szCs w:val="22"/>
        </w:rPr>
        <w:t>digitised</w:t>
      </w:r>
      <w:proofErr w:type="spellEnd"/>
      <w:r w:rsidRPr="00391ABF">
        <w:rPr>
          <w:rFonts w:ascii="Arial" w:hAnsi="Arial" w:cs="Arial"/>
          <w:color w:val="002060"/>
          <w:sz w:val="22"/>
          <w:szCs w:val="22"/>
        </w:rPr>
        <w:t xml:space="preserve"> histology service and was recently a central partner in the </w:t>
      </w:r>
      <w:proofErr w:type="spellStart"/>
      <w:r w:rsidRPr="00391ABF">
        <w:rPr>
          <w:rFonts w:ascii="Arial" w:hAnsi="Arial" w:cs="Arial"/>
          <w:color w:val="002060"/>
          <w:sz w:val="22"/>
          <w:szCs w:val="22"/>
        </w:rPr>
        <w:t>iCAIRD</w:t>
      </w:r>
      <w:proofErr w:type="spellEnd"/>
      <w:r w:rsidRPr="00391ABF">
        <w:rPr>
          <w:rFonts w:ascii="Arial" w:hAnsi="Arial" w:cs="Arial"/>
          <w:color w:val="002060"/>
          <w:sz w:val="22"/>
          <w:szCs w:val="22"/>
        </w:rPr>
        <w:t xml:space="preserve"> (Industrial Centre for Artificial Intelligence in Digital Diagnostics) Consortium funded through Innovate UK with several ongoing AI projects. The department is committed to innovation and sustainability.  </w:t>
      </w:r>
    </w:p>
    <w:p w14:paraId="01AB1A25"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There are dedicated facilities within the department for core histology, specialist histology, cytology (</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Non-</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and Andrology), immunocytochemistry and electron microscopy. Molecular pathology is undertaken by the Department of Genetics which is co-located with Pathology in an established Molecular Diagnostics unit which is centrally funded by NSD (National Services Division). </w:t>
      </w:r>
    </w:p>
    <w:p w14:paraId="2C7A0576"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The department has new equipment as part of a Managed Service Contract (MSC). There is a specimen tracking system (</w:t>
      </w:r>
      <w:proofErr w:type="spellStart"/>
      <w:r w:rsidRPr="00391ABF">
        <w:rPr>
          <w:rFonts w:ascii="Arial" w:hAnsi="Arial" w:cs="Arial"/>
          <w:color w:val="002060"/>
          <w:sz w:val="22"/>
          <w:szCs w:val="22"/>
        </w:rPr>
        <w:t>Cerebro</w:t>
      </w:r>
      <w:proofErr w:type="spellEnd"/>
      <w:r w:rsidRPr="00391ABF">
        <w:rPr>
          <w:rFonts w:ascii="Arial" w:hAnsi="Arial" w:cs="Arial"/>
          <w:color w:val="002060"/>
          <w:sz w:val="22"/>
          <w:szCs w:val="22"/>
        </w:rPr>
        <w:t xml:space="preserve">) linked to the Laboratory Information System (Telepath).  The department has implemented digital pathology with over two thirds of consultants fully digital reporting for histology. Appointees without experience of digital pathology will be fully supported in completing the </w:t>
      </w:r>
      <w:proofErr w:type="spellStart"/>
      <w:r w:rsidRPr="00391ABF">
        <w:rPr>
          <w:rFonts w:ascii="Arial" w:hAnsi="Arial" w:cs="Arial"/>
          <w:color w:val="002060"/>
          <w:sz w:val="22"/>
          <w:szCs w:val="22"/>
        </w:rPr>
        <w:t>RCPath</w:t>
      </w:r>
      <w:proofErr w:type="spellEnd"/>
      <w:r w:rsidRPr="00391ABF">
        <w:rPr>
          <w:rFonts w:ascii="Arial" w:hAnsi="Arial" w:cs="Arial"/>
          <w:color w:val="002060"/>
          <w:sz w:val="22"/>
          <w:szCs w:val="22"/>
        </w:rPr>
        <w:t xml:space="preserve"> recommended validation process. An up to date digital reporting workstation will be provided.  There are opportunities for participating in Digital pathology research and development.</w:t>
      </w:r>
    </w:p>
    <w:p w14:paraId="395BAD06"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The department is </w:t>
      </w:r>
      <w:proofErr w:type="spellStart"/>
      <w:r w:rsidRPr="00391ABF">
        <w:rPr>
          <w:rFonts w:ascii="Arial" w:hAnsi="Arial" w:cs="Arial"/>
          <w:color w:val="002060"/>
          <w:sz w:val="22"/>
          <w:szCs w:val="22"/>
        </w:rPr>
        <w:t>organised</w:t>
      </w:r>
      <w:proofErr w:type="spellEnd"/>
      <w:r w:rsidRPr="00391ABF">
        <w:rPr>
          <w:rFonts w:ascii="Arial" w:hAnsi="Arial" w:cs="Arial"/>
          <w:color w:val="002060"/>
          <w:sz w:val="22"/>
          <w:szCs w:val="22"/>
        </w:rPr>
        <w:t xml:space="preserve"> on a Specialist Team basis. The Specialist Teams are Autopsy, Bone &amp; Soft Tissue, Cardiovascular, </w:t>
      </w:r>
      <w:proofErr w:type="spellStart"/>
      <w:r w:rsidRPr="00391ABF">
        <w:rPr>
          <w:rFonts w:ascii="Arial" w:hAnsi="Arial" w:cs="Arial"/>
          <w:color w:val="002060"/>
          <w:sz w:val="22"/>
          <w:szCs w:val="22"/>
        </w:rPr>
        <w:t>Dermatopathology</w:t>
      </w:r>
      <w:proofErr w:type="spellEnd"/>
      <w:r w:rsidRPr="00391ABF">
        <w:rPr>
          <w:rFonts w:ascii="Arial" w:hAnsi="Arial" w:cs="Arial"/>
          <w:color w:val="002060"/>
          <w:sz w:val="22"/>
          <w:szCs w:val="22"/>
        </w:rPr>
        <w:t xml:space="preserve">, Gastrointestinal, </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Head &amp; Neck/Endocrine, </w:t>
      </w:r>
      <w:proofErr w:type="spellStart"/>
      <w:r w:rsidRPr="00391ABF">
        <w:rPr>
          <w:rFonts w:ascii="Arial" w:hAnsi="Arial" w:cs="Arial"/>
          <w:color w:val="002060"/>
          <w:sz w:val="22"/>
          <w:szCs w:val="22"/>
        </w:rPr>
        <w:t>Haematolymphoid</w:t>
      </w:r>
      <w:proofErr w:type="spellEnd"/>
      <w:r w:rsidRPr="00391ABF">
        <w:rPr>
          <w:rFonts w:ascii="Arial" w:hAnsi="Arial" w:cs="Arial"/>
          <w:color w:val="002060"/>
          <w:sz w:val="22"/>
          <w:szCs w:val="22"/>
        </w:rPr>
        <w:t xml:space="preserve">, Ophthalmic, Pulmonary/Thoracic, Renal, Urology, </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Cytology and Non-</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(Diagnostic) Cytology. A Consultant Pathologist may be a member of several teams with either a major or minor role and no teams are mutually exclusive.</w:t>
      </w:r>
    </w:p>
    <w:p w14:paraId="412F69CB"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The pre-pandemic workload (2018-19) of the Department was 113866 histology requests, 173542 histology specimens, 103960 </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cytology requests and 7016 Non-</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Cytology requests per annum.  The current </w:t>
      </w:r>
      <w:proofErr w:type="gramStart"/>
      <w:r w:rsidRPr="00391ABF">
        <w:rPr>
          <w:rFonts w:ascii="Arial" w:hAnsi="Arial" w:cs="Arial"/>
          <w:color w:val="002060"/>
          <w:sz w:val="22"/>
          <w:szCs w:val="22"/>
        </w:rPr>
        <w:t>workload  is</w:t>
      </w:r>
      <w:proofErr w:type="gramEnd"/>
      <w:r w:rsidRPr="00391ABF">
        <w:rPr>
          <w:rFonts w:ascii="Arial" w:hAnsi="Arial" w:cs="Arial"/>
          <w:color w:val="002060"/>
          <w:sz w:val="22"/>
          <w:szCs w:val="22"/>
        </w:rPr>
        <w:t xml:space="preserve"> 99778 histology requests, 155768 histology specimens, 5804 </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cytology requests and  28248 non-</w:t>
      </w:r>
      <w:proofErr w:type="spellStart"/>
      <w:r w:rsidRPr="00391ABF">
        <w:rPr>
          <w:rFonts w:ascii="Arial" w:hAnsi="Arial" w:cs="Arial"/>
          <w:color w:val="002060"/>
          <w:sz w:val="22"/>
          <w:szCs w:val="22"/>
        </w:rPr>
        <w:t>gynaecological</w:t>
      </w:r>
      <w:proofErr w:type="spellEnd"/>
      <w:r w:rsidRPr="00391ABF">
        <w:rPr>
          <w:rFonts w:ascii="Arial" w:hAnsi="Arial" w:cs="Arial"/>
          <w:color w:val="002060"/>
          <w:sz w:val="22"/>
          <w:szCs w:val="22"/>
        </w:rPr>
        <w:t xml:space="preserve"> cytology requests. </w:t>
      </w:r>
    </w:p>
    <w:p w14:paraId="6DA69957"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The successful candidate will be one of 50 consultants with 25 Pathology trainees.</w:t>
      </w:r>
    </w:p>
    <w:p w14:paraId="0CF6F154"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The Department is involved in various aspects of the MB ChB and BDS curricula. There is a ‘Mechanisms of Disease’ module in the BSc (Hons) Medical Science course.   Where appropriate the appointee will contribute to these areas.  </w:t>
      </w:r>
    </w:p>
    <w:p w14:paraId="027F84F2" w14:textId="714AABE2"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 xml:space="preserve">The Post in Pathology </w:t>
      </w:r>
    </w:p>
    <w:p w14:paraId="711BE8EA"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This is a replacement post based in the Department of Pathology, Queen Elizabeth University Hospital, Glasgow, for a consultant Pathologist to join the existing consultants in providing a diagnostic pathology service for NHS Greater Glasgow and Clyde.  The laboratory provides an extensive range of Histopathology and Cytopathology services including autopsy and frozen section services. The Department has a Specialist Team approach and the successful candidate would be expected to have, or be willing to develop, an interest in </w:t>
      </w:r>
      <w:proofErr w:type="spellStart"/>
      <w:r w:rsidRPr="00391ABF">
        <w:rPr>
          <w:rFonts w:ascii="Arial" w:hAnsi="Arial" w:cs="Arial"/>
          <w:color w:val="002060"/>
          <w:sz w:val="22"/>
          <w:szCs w:val="22"/>
        </w:rPr>
        <w:t>dermatopathology</w:t>
      </w:r>
      <w:proofErr w:type="spellEnd"/>
      <w:r w:rsidRPr="00391ABF">
        <w:rPr>
          <w:rFonts w:ascii="Arial" w:hAnsi="Arial" w:cs="Arial"/>
          <w:color w:val="002060"/>
          <w:sz w:val="22"/>
          <w:szCs w:val="22"/>
        </w:rPr>
        <w:t xml:space="preserve"> and/or gastrointestinal pathology. Although there is some flexibility in opportunities, the majority of clinical time for this post will be allocated to these </w:t>
      </w:r>
      <w:proofErr w:type="spellStart"/>
      <w:r w:rsidRPr="00391ABF">
        <w:rPr>
          <w:rFonts w:ascii="Arial" w:hAnsi="Arial" w:cs="Arial"/>
          <w:color w:val="002060"/>
          <w:sz w:val="22"/>
          <w:szCs w:val="22"/>
        </w:rPr>
        <w:t>specialities</w:t>
      </w:r>
      <w:proofErr w:type="spellEnd"/>
      <w:r w:rsidRPr="00391ABF">
        <w:rPr>
          <w:rFonts w:ascii="Arial" w:hAnsi="Arial" w:cs="Arial"/>
          <w:color w:val="002060"/>
          <w:sz w:val="22"/>
          <w:szCs w:val="22"/>
        </w:rPr>
        <w:t xml:space="preserve">. However, there are other areas in need of support especially breast pathology and cervical cytology. The current opportunities can be discussed with the Head of Service, </w:t>
      </w:r>
      <w:proofErr w:type="spellStart"/>
      <w:r w:rsidRPr="00391ABF">
        <w:rPr>
          <w:rFonts w:ascii="Arial" w:hAnsi="Arial" w:cs="Arial"/>
          <w:color w:val="002060"/>
          <w:sz w:val="22"/>
          <w:szCs w:val="22"/>
        </w:rPr>
        <w:t>Dr</w:t>
      </w:r>
      <w:proofErr w:type="spellEnd"/>
      <w:r w:rsidRPr="00391ABF">
        <w:rPr>
          <w:rFonts w:ascii="Arial" w:hAnsi="Arial" w:cs="Arial"/>
          <w:color w:val="002060"/>
          <w:sz w:val="22"/>
          <w:szCs w:val="22"/>
        </w:rPr>
        <w:t xml:space="preserve"> Fiona Roberts, prior to application/interview.</w:t>
      </w:r>
    </w:p>
    <w:p w14:paraId="1E11A301"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Numerous multidisciplinary/managed clinical network meetings are held each week and the successful appointee would be expected to contribute to these meetings as appropriate either by attendance at the meeting, by video-conference or Microsoft Teams. The Department has several meeting rooms equipped with full multimedia facilities.</w:t>
      </w:r>
    </w:p>
    <w:p w14:paraId="1609F099"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The post includes shared responsibility with consultant colleagues for the provision of a specialist diagnostic service commensurate with the agreed job-plan. All consultant pathologists currently contribute to the supervision and training of pathologists.</w:t>
      </w:r>
    </w:p>
    <w:p w14:paraId="76F7C631" w14:textId="18C74CF3" w:rsidR="00391ABF" w:rsidRPr="00391ABF" w:rsidRDefault="00391ABF" w:rsidP="00391ABF">
      <w:pPr>
        <w:pStyle w:val="BodyText"/>
        <w:tabs>
          <w:tab w:val="center" w:pos="4613"/>
        </w:tabs>
        <w:spacing w:line="360" w:lineRule="auto"/>
        <w:rPr>
          <w:rFonts w:ascii="Arial" w:hAnsi="Arial" w:cs="Arial"/>
          <w:color w:val="002060"/>
          <w:sz w:val="22"/>
          <w:szCs w:val="22"/>
        </w:rPr>
      </w:pPr>
      <w:r w:rsidRPr="00391ABF">
        <w:rPr>
          <w:rFonts w:ascii="Arial" w:hAnsi="Arial" w:cs="Arial"/>
          <w:b/>
          <w:i/>
          <w:color w:val="002060"/>
          <w:sz w:val="22"/>
          <w:szCs w:val="22"/>
        </w:rPr>
        <w:t>Continuing Professional Development:</w:t>
      </w:r>
      <w:r w:rsidRPr="00391ABF">
        <w:rPr>
          <w:rFonts w:ascii="Arial" w:hAnsi="Arial" w:cs="Arial"/>
          <w:color w:val="002060"/>
          <w:sz w:val="22"/>
          <w:szCs w:val="22"/>
        </w:rPr>
        <w:tab/>
      </w:r>
    </w:p>
    <w:p w14:paraId="06E2FE8F"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The appointee will be expected to participate in continuing professional development, in relevant quality assurance schemes and in clinical audit.</w:t>
      </w:r>
    </w:p>
    <w:p w14:paraId="073CB15E" w14:textId="77777777" w:rsidR="00391ABF" w:rsidRPr="00391ABF" w:rsidRDefault="00391ABF" w:rsidP="00391ABF">
      <w:pPr>
        <w:pStyle w:val="BodyText"/>
        <w:spacing w:line="360" w:lineRule="auto"/>
        <w:rPr>
          <w:rFonts w:ascii="Arial" w:hAnsi="Arial" w:cs="Arial"/>
          <w:b/>
          <w:i/>
          <w:color w:val="002060"/>
          <w:sz w:val="22"/>
          <w:szCs w:val="22"/>
        </w:rPr>
      </w:pPr>
      <w:r w:rsidRPr="00391ABF">
        <w:rPr>
          <w:rFonts w:ascii="Arial" w:hAnsi="Arial" w:cs="Arial"/>
          <w:b/>
          <w:i/>
          <w:color w:val="002060"/>
          <w:sz w:val="22"/>
          <w:szCs w:val="22"/>
        </w:rPr>
        <w:t xml:space="preserve">Health &amp; Safety: </w:t>
      </w:r>
    </w:p>
    <w:p w14:paraId="7B659A25"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The successful appointee will be required to comply with Health Board Health and Safety Policies.</w:t>
      </w:r>
    </w:p>
    <w:p w14:paraId="7CED9568"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The successful candidate will be expected to be on the specialist register or be eligible for entry to it, with a CCST/ CCT in pathology.   </w:t>
      </w:r>
    </w:p>
    <w:p w14:paraId="5B6970B5" w14:textId="571B0CF5" w:rsidR="00391ABF" w:rsidRPr="00391ABF" w:rsidRDefault="00391ABF" w:rsidP="00391ABF">
      <w:pPr>
        <w:pStyle w:val="BodyText"/>
        <w:spacing w:line="360" w:lineRule="auto"/>
        <w:rPr>
          <w:rFonts w:ascii="Arial" w:hAnsi="Arial" w:cs="Arial"/>
          <w:b/>
          <w:color w:val="002060"/>
          <w:sz w:val="22"/>
          <w:szCs w:val="22"/>
        </w:rPr>
      </w:pPr>
      <w:r w:rsidRPr="00391ABF">
        <w:rPr>
          <w:rFonts w:ascii="Arial" w:hAnsi="Arial" w:cs="Arial"/>
          <w:b/>
          <w:color w:val="002060"/>
          <w:sz w:val="22"/>
          <w:szCs w:val="22"/>
        </w:rPr>
        <w:t>The University Department of Pathology</w:t>
      </w:r>
    </w:p>
    <w:p w14:paraId="7715A6BE" w14:textId="77777777" w:rsidR="00391ABF" w:rsidRPr="00391ABF" w:rsidRDefault="00391ABF" w:rsidP="00391ABF">
      <w:pPr>
        <w:pStyle w:val="NormalWeb"/>
        <w:shd w:val="clear" w:color="auto" w:fill="FFFFFF"/>
        <w:spacing w:line="360" w:lineRule="auto"/>
        <w:ind w:right="140"/>
        <w:rPr>
          <w:rFonts w:ascii="Arial" w:hAnsi="Arial" w:cs="Arial"/>
          <w:color w:val="002060"/>
          <w:sz w:val="22"/>
          <w:szCs w:val="22"/>
        </w:rPr>
      </w:pPr>
      <w:r w:rsidRPr="00391ABF">
        <w:rPr>
          <w:rFonts w:ascii="Arial" w:hAnsi="Arial" w:cs="Arial"/>
          <w:color w:val="002060"/>
          <w:sz w:val="22"/>
          <w:szCs w:val="22"/>
        </w:rPr>
        <w:t xml:space="preserve">The University Pathology Unit was integrated into the new Institute of Cancer Sciences in August 2010 when the College of Medical, Veterinary and Life Sciences was established.  The restructuring of the university has resulted in the development of strength in focused areas that has over the last few years resulted in a major building programme and investment in junior and senior academic appointments.  The Institute of Cancer Sciences is part of a national centre of excellence in the fight against cancer. It is a partner with the </w:t>
      </w:r>
      <w:proofErr w:type="spellStart"/>
      <w:r w:rsidRPr="00391ABF">
        <w:rPr>
          <w:rFonts w:ascii="Arial" w:hAnsi="Arial" w:cs="Arial"/>
          <w:color w:val="002060"/>
          <w:sz w:val="22"/>
          <w:szCs w:val="22"/>
        </w:rPr>
        <w:t>Beatson</w:t>
      </w:r>
      <w:proofErr w:type="spellEnd"/>
      <w:r w:rsidRPr="00391ABF">
        <w:rPr>
          <w:rFonts w:ascii="Arial" w:hAnsi="Arial" w:cs="Arial"/>
          <w:color w:val="002060"/>
          <w:sz w:val="22"/>
          <w:szCs w:val="22"/>
        </w:rPr>
        <w:t xml:space="preserve"> Institute for Cancer Research, which together form the core of cancer research in Glasgow. Together, there are currently 38 research groups housed in new research buildings at the </w:t>
      </w:r>
      <w:proofErr w:type="spellStart"/>
      <w:r w:rsidRPr="00391ABF">
        <w:rPr>
          <w:rFonts w:ascii="Arial" w:hAnsi="Arial" w:cs="Arial"/>
          <w:color w:val="002060"/>
          <w:sz w:val="22"/>
          <w:szCs w:val="22"/>
        </w:rPr>
        <w:t>Beatson</w:t>
      </w:r>
      <w:proofErr w:type="spellEnd"/>
      <w:r w:rsidRPr="00391ABF">
        <w:rPr>
          <w:rFonts w:ascii="Arial" w:hAnsi="Arial" w:cs="Arial"/>
          <w:color w:val="002060"/>
          <w:sz w:val="22"/>
          <w:szCs w:val="22"/>
        </w:rPr>
        <w:t xml:space="preserve"> Institute for Cancer Research, the Paul O’Gorman Leukaemia Research Centre and the CRUK clinical trials unit (CTU). In addition, a Translational Research Centre, opened in 2013 which will provide excellent facilities for an expanded programme of translational cancer research in Glasgow. </w:t>
      </w:r>
    </w:p>
    <w:p w14:paraId="14AAC2CF" w14:textId="77777777" w:rsidR="00391ABF" w:rsidRPr="00391ABF" w:rsidRDefault="00391ABF" w:rsidP="00391ABF">
      <w:pPr>
        <w:pStyle w:val="NormalWeb"/>
        <w:shd w:val="clear" w:color="auto" w:fill="FFFFFF"/>
        <w:spacing w:line="360" w:lineRule="auto"/>
        <w:ind w:right="140"/>
        <w:rPr>
          <w:rFonts w:ascii="Arial" w:hAnsi="Arial" w:cs="Arial"/>
          <w:color w:val="002060"/>
          <w:sz w:val="22"/>
          <w:szCs w:val="22"/>
        </w:rPr>
      </w:pPr>
      <w:r w:rsidRPr="00391ABF">
        <w:rPr>
          <w:rFonts w:ascii="Arial" w:hAnsi="Arial" w:cs="Arial"/>
          <w:color w:val="002060"/>
          <w:sz w:val="22"/>
          <w:szCs w:val="22"/>
        </w:rPr>
        <w:t xml:space="preserve">The University Pathology unit is co-located with Pathology in the Laboratory Medicine Building at the Queen Elizabeth University Hospital and is also integrated with the </w:t>
      </w:r>
      <w:proofErr w:type="spellStart"/>
      <w:r w:rsidRPr="00391ABF">
        <w:rPr>
          <w:rFonts w:ascii="Arial" w:hAnsi="Arial" w:cs="Arial"/>
          <w:color w:val="002060"/>
          <w:sz w:val="22"/>
          <w:szCs w:val="22"/>
        </w:rPr>
        <w:t>Beatson</w:t>
      </w:r>
      <w:proofErr w:type="spellEnd"/>
      <w:r w:rsidRPr="00391ABF">
        <w:rPr>
          <w:rFonts w:ascii="Arial" w:hAnsi="Arial" w:cs="Arial"/>
          <w:color w:val="002060"/>
          <w:sz w:val="22"/>
          <w:szCs w:val="22"/>
        </w:rPr>
        <w:t xml:space="preserve"> Research Institute at </w:t>
      </w:r>
      <w:proofErr w:type="spellStart"/>
      <w:r w:rsidRPr="00391ABF">
        <w:rPr>
          <w:rFonts w:ascii="Arial" w:hAnsi="Arial" w:cs="Arial"/>
          <w:color w:val="002060"/>
          <w:sz w:val="22"/>
          <w:szCs w:val="22"/>
        </w:rPr>
        <w:t>Garscube</w:t>
      </w:r>
      <w:proofErr w:type="spellEnd"/>
      <w:r w:rsidRPr="00391ABF">
        <w:rPr>
          <w:rFonts w:ascii="Arial" w:hAnsi="Arial" w:cs="Arial"/>
          <w:color w:val="002060"/>
          <w:sz w:val="22"/>
          <w:szCs w:val="22"/>
        </w:rPr>
        <w:t xml:space="preserve">. The underlying principle of the unit is that research findings should lead to a better understanding of disease mechanisms and have wide societal benefit. It is recognised that Pathology underpins the evaluation of novel molecular markers in cells and tissues and the development and implementation of safe and effective innovative treatments.  </w:t>
      </w:r>
    </w:p>
    <w:p w14:paraId="7600355F" w14:textId="77777777" w:rsidR="00391ABF" w:rsidRPr="00391ABF" w:rsidRDefault="00391ABF" w:rsidP="00391ABF">
      <w:pPr>
        <w:pStyle w:val="NormalWeb"/>
        <w:shd w:val="clear" w:color="auto" w:fill="FFFFFF"/>
        <w:spacing w:line="360" w:lineRule="auto"/>
        <w:ind w:right="140"/>
        <w:rPr>
          <w:rFonts w:ascii="Arial" w:hAnsi="Arial" w:cs="Arial"/>
          <w:color w:val="002060"/>
          <w:sz w:val="22"/>
          <w:szCs w:val="22"/>
        </w:rPr>
      </w:pPr>
      <w:r w:rsidRPr="00391ABF">
        <w:rPr>
          <w:rFonts w:ascii="Arial" w:hAnsi="Arial" w:cs="Arial"/>
          <w:color w:val="002060"/>
          <w:sz w:val="22"/>
          <w:szCs w:val="22"/>
        </w:rPr>
        <w:t>Research activities combine advanced morphological assessment of tissue and cells with molecular and cellular-based research to develop and validate diagnostic and prognostic markers through pre-clinical and clinical studies. Facilities include tissue-microarray production, image analysis, immunohistochemistry and mutational analysis from fresh and paraffin-embedded sections.  Any research undertaken is subject to approval by the West of Scotland Research Ethics Service and would require to be funded appropriately at source.</w:t>
      </w:r>
    </w:p>
    <w:p w14:paraId="010C63DE" w14:textId="77777777" w:rsidR="00391ABF" w:rsidRPr="00391ABF" w:rsidRDefault="00391ABF" w:rsidP="00391ABF">
      <w:pPr>
        <w:pStyle w:val="NormalWeb"/>
        <w:shd w:val="clear" w:color="auto" w:fill="FFFFFF"/>
        <w:spacing w:line="360" w:lineRule="auto"/>
        <w:ind w:right="140"/>
        <w:rPr>
          <w:rFonts w:ascii="Arial" w:hAnsi="Arial" w:cs="Arial"/>
          <w:color w:val="002060"/>
          <w:sz w:val="22"/>
          <w:szCs w:val="22"/>
        </w:rPr>
      </w:pPr>
      <w:r w:rsidRPr="00391ABF">
        <w:rPr>
          <w:rFonts w:ascii="Arial" w:hAnsi="Arial" w:cs="Arial"/>
          <w:color w:val="002060"/>
          <w:sz w:val="22"/>
          <w:szCs w:val="22"/>
        </w:rPr>
        <w:t>The unit has a major commitment to teaching and training in Pathology to over 1000 undergraduate students in medicine, dentistry and life sciences. Members of the unit also contribute, together with the NHS colleagues, to the provision of pathology services within the NHS Greater Glasgow and Clyde.</w:t>
      </w:r>
    </w:p>
    <w:p w14:paraId="535FF3EB" w14:textId="77777777" w:rsidR="00391ABF" w:rsidRPr="00391ABF" w:rsidRDefault="00391ABF" w:rsidP="00391ABF">
      <w:pPr>
        <w:pStyle w:val="NormalWeb"/>
        <w:shd w:val="clear" w:color="auto" w:fill="FFFFFF"/>
        <w:spacing w:line="360" w:lineRule="auto"/>
        <w:ind w:right="-1"/>
        <w:rPr>
          <w:rFonts w:ascii="Arial" w:hAnsi="Arial" w:cs="Arial"/>
          <w:color w:val="002060"/>
          <w:sz w:val="22"/>
          <w:szCs w:val="22"/>
        </w:rPr>
      </w:pPr>
      <w:r w:rsidRPr="00391ABF">
        <w:rPr>
          <w:rFonts w:ascii="Arial" w:hAnsi="Arial" w:cs="Arial"/>
          <w:color w:val="002060"/>
          <w:sz w:val="22"/>
          <w:szCs w:val="22"/>
        </w:rPr>
        <w:t xml:space="preserve">All the research facilities in the Unit are available to the appointee. </w:t>
      </w:r>
    </w:p>
    <w:p w14:paraId="562A2BF7" w14:textId="0695DE30"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w:t>
      </w:r>
      <w:r w:rsidRPr="00391ABF">
        <w:rPr>
          <w:rFonts w:ascii="Arial" w:hAnsi="Arial" w:cs="Arial"/>
          <w:b/>
          <w:color w:val="002060"/>
          <w:sz w:val="22"/>
          <w:szCs w:val="22"/>
        </w:rPr>
        <w:t>Name of Consultant members of the Glasgow and Clyde pathology departments:</w:t>
      </w:r>
    </w:p>
    <w:tbl>
      <w:tblPr>
        <w:tblW w:w="8237" w:type="dxa"/>
        <w:tblInd w:w="93" w:type="dxa"/>
        <w:tblLayout w:type="fixed"/>
        <w:tblLook w:val="04A0" w:firstRow="1" w:lastRow="0" w:firstColumn="1" w:lastColumn="0" w:noHBand="0" w:noVBand="1"/>
      </w:tblPr>
      <w:tblGrid>
        <w:gridCol w:w="2745"/>
        <w:gridCol w:w="2746"/>
        <w:gridCol w:w="2746"/>
      </w:tblGrid>
      <w:tr w:rsidR="00391ABF" w:rsidRPr="00391ABF" w14:paraId="7C5C9AD6" w14:textId="77777777" w:rsidTr="00391ABF">
        <w:trPr>
          <w:trHeight w:val="255"/>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576CD"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Sarah Bell</w:t>
            </w:r>
          </w:p>
        </w:tc>
        <w:tc>
          <w:tcPr>
            <w:tcW w:w="2746" w:type="dxa"/>
            <w:tcBorders>
              <w:top w:val="single" w:sz="4" w:space="0" w:color="auto"/>
              <w:left w:val="nil"/>
              <w:bottom w:val="single" w:sz="4" w:space="0" w:color="auto"/>
              <w:right w:val="single" w:sz="4" w:space="0" w:color="auto"/>
            </w:tcBorders>
            <w:shd w:val="clear" w:color="auto" w:fill="auto"/>
            <w:noWrap/>
            <w:vAlign w:val="bottom"/>
          </w:tcPr>
          <w:p w14:paraId="400B68AB"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Prakash </w:t>
            </w:r>
            <w:proofErr w:type="spellStart"/>
            <w:r w:rsidRPr="00391ABF">
              <w:rPr>
                <w:rFonts w:ascii="Arial" w:hAnsi="Arial" w:cs="Arial"/>
                <w:color w:val="002060"/>
                <w:sz w:val="22"/>
                <w:szCs w:val="22"/>
              </w:rPr>
              <w:t>Konanahalli</w:t>
            </w:r>
            <w:proofErr w:type="spellEnd"/>
          </w:p>
        </w:tc>
        <w:tc>
          <w:tcPr>
            <w:tcW w:w="2746" w:type="dxa"/>
            <w:tcBorders>
              <w:top w:val="single" w:sz="4" w:space="0" w:color="auto"/>
              <w:left w:val="nil"/>
              <w:bottom w:val="single" w:sz="4" w:space="0" w:color="auto"/>
              <w:right w:val="single" w:sz="4" w:space="0" w:color="auto"/>
            </w:tcBorders>
            <w:shd w:val="clear" w:color="auto" w:fill="auto"/>
            <w:noWrap/>
            <w:vAlign w:val="bottom"/>
          </w:tcPr>
          <w:p w14:paraId="10BB4BEE"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Dawn Penman</w:t>
            </w:r>
            <w:r w:rsidRPr="00391ABF" w:rsidDel="001A059E">
              <w:rPr>
                <w:rFonts w:ascii="Arial" w:hAnsi="Arial" w:cs="Arial"/>
                <w:color w:val="002060"/>
                <w:sz w:val="22"/>
                <w:szCs w:val="22"/>
              </w:rPr>
              <w:t xml:space="preserve"> </w:t>
            </w:r>
          </w:p>
        </w:tc>
      </w:tr>
      <w:tr w:rsidR="00391ABF" w:rsidRPr="00391ABF" w14:paraId="240A4416"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07ACF87C"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Stephen James Brown</w:t>
            </w:r>
            <w:r w:rsidRPr="00391ABF" w:rsidDel="001A059E">
              <w:rPr>
                <w:rFonts w:ascii="Arial" w:hAnsi="Arial" w:cs="Arial"/>
                <w:color w:val="002060"/>
                <w:sz w:val="22"/>
                <w:szCs w:val="22"/>
              </w:rPr>
              <w:t xml:space="preserve"> </w:t>
            </w:r>
          </w:p>
        </w:tc>
        <w:tc>
          <w:tcPr>
            <w:tcW w:w="2746" w:type="dxa"/>
            <w:tcBorders>
              <w:top w:val="nil"/>
              <w:left w:val="nil"/>
              <w:bottom w:val="single" w:sz="4" w:space="0" w:color="auto"/>
              <w:right w:val="single" w:sz="4" w:space="0" w:color="auto"/>
            </w:tcBorders>
            <w:shd w:val="clear" w:color="auto" w:fill="auto"/>
            <w:noWrap/>
            <w:vAlign w:val="bottom"/>
          </w:tcPr>
          <w:p w14:paraId="11C56087"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Abigail Latimer</w:t>
            </w:r>
          </w:p>
        </w:tc>
        <w:tc>
          <w:tcPr>
            <w:tcW w:w="2746" w:type="dxa"/>
            <w:tcBorders>
              <w:top w:val="nil"/>
              <w:left w:val="nil"/>
              <w:bottom w:val="single" w:sz="4" w:space="0" w:color="auto"/>
              <w:right w:val="single" w:sz="4" w:space="0" w:color="auto"/>
            </w:tcBorders>
            <w:shd w:val="clear" w:color="auto" w:fill="auto"/>
            <w:noWrap/>
            <w:vAlign w:val="bottom"/>
          </w:tcPr>
          <w:p w14:paraId="5C14C65A"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Victoria Philips</w:t>
            </w:r>
          </w:p>
        </w:tc>
      </w:tr>
      <w:tr w:rsidR="00391ABF" w:rsidRPr="00391ABF" w14:paraId="3424557B"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38E2CE38"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Gareth Bryson</w:t>
            </w:r>
          </w:p>
        </w:tc>
        <w:tc>
          <w:tcPr>
            <w:tcW w:w="2746" w:type="dxa"/>
            <w:tcBorders>
              <w:top w:val="nil"/>
              <w:left w:val="nil"/>
              <w:bottom w:val="single" w:sz="4" w:space="0" w:color="auto"/>
              <w:right w:val="single" w:sz="4" w:space="0" w:color="auto"/>
            </w:tcBorders>
            <w:shd w:val="clear" w:color="auto" w:fill="auto"/>
            <w:noWrap/>
            <w:vAlign w:val="bottom"/>
          </w:tcPr>
          <w:p w14:paraId="700E0618"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Sarah </w:t>
            </w:r>
            <w:proofErr w:type="spellStart"/>
            <w:r w:rsidRPr="00391ABF">
              <w:rPr>
                <w:rFonts w:ascii="Arial" w:hAnsi="Arial" w:cs="Arial"/>
                <w:color w:val="002060"/>
                <w:sz w:val="22"/>
                <w:szCs w:val="22"/>
              </w:rPr>
              <w:t>Liptrot</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650CB90F"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w:t>
            </w:r>
            <w:proofErr w:type="spellStart"/>
            <w:r w:rsidRPr="00391ABF">
              <w:rPr>
                <w:rFonts w:ascii="Arial" w:hAnsi="Arial" w:cs="Arial"/>
                <w:color w:val="002060"/>
                <w:sz w:val="22"/>
                <w:szCs w:val="22"/>
              </w:rPr>
              <w:t>Hema</w:t>
            </w:r>
            <w:proofErr w:type="spellEnd"/>
            <w:r w:rsidRPr="00391ABF">
              <w:rPr>
                <w:rFonts w:ascii="Arial" w:hAnsi="Arial" w:cs="Arial"/>
                <w:color w:val="002060"/>
                <w:sz w:val="22"/>
                <w:szCs w:val="22"/>
              </w:rPr>
              <w:t xml:space="preserve"> </w:t>
            </w:r>
            <w:proofErr w:type="spellStart"/>
            <w:r w:rsidRPr="00391ABF">
              <w:rPr>
                <w:rFonts w:ascii="Arial" w:hAnsi="Arial" w:cs="Arial"/>
                <w:color w:val="002060"/>
                <w:sz w:val="22"/>
                <w:szCs w:val="22"/>
              </w:rPr>
              <w:t>Pithamuthu</w:t>
            </w:r>
            <w:proofErr w:type="spellEnd"/>
          </w:p>
        </w:tc>
      </w:tr>
      <w:tr w:rsidR="00391ABF" w:rsidRPr="00391ABF" w14:paraId="280BA268"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70F03223"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Lorna Cooper</w:t>
            </w:r>
          </w:p>
        </w:tc>
        <w:tc>
          <w:tcPr>
            <w:tcW w:w="2746" w:type="dxa"/>
            <w:tcBorders>
              <w:top w:val="nil"/>
              <w:left w:val="nil"/>
              <w:bottom w:val="single" w:sz="4" w:space="0" w:color="auto"/>
              <w:right w:val="single" w:sz="4" w:space="0" w:color="auto"/>
            </w:tcBorders>
            <w:shd w:val="clear" w:color="auto" w:fill="auto"/>
            <w:noWrap/>
            <w:vAlign w:val="bottom"/>
          </w:tcPr>
          <w:p w14:paraId="49C05C7B"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Joseph </w:t>
            </w:r>
            <w:proofErr w:type="spellStart"/>
            <w:r w:rsidRPr="00391ABF">
              <w:rPr>
                <w:rFonts w:ascii="Arial" w:hAnsi="Arial" w:cs="Arial"/>
                <w:color w:val="002060"/>
                <w:sz w:val="22"/>
                <w:szCs w:val="22"/>
              </w:rPr>
              <w:t>Loane</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73A8A695"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Will </w:t>
            </w:r>
            <w:proofErr w:type="spellStart"/>
            <w:r w:rsidRPr="00391ABF">
              <w:rPr>
                <w:rFonts w:ascii="Arial" w:hAnsi="Arial" w:cs="Arial"/>
                <w:color w:val="002060"/>
                <w:sz w:val="22"/>
                <w:szCs w:val="22"/>
              </w:rPr>
              <w:t>Rickaby</w:t>
            </w:r>
            <w:proofErr w:type="spellEnd"/>
          </w:p>
        </w:tc>
      </w:tr>
      <w:tr w:rsidR="00391ABF" w:rsidRPr="00391ABF" w14:paraId="73E4E075"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6162486B"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Jana Crosby</w:t>
            </w:r>
          </w:p>
        </w:tc>
        <w:tc>
          <w:tcPr>
            <w:tcW w:w="2746" w:type="dxa"/>
            <w:tcBorders>
              <w:top w:val="nil"/>
              <w:left w:val="nil"/>
              <w:bottom w:val="single" w:sz="4" w:space="0" w:color="auto"/>
              <w:right w:val="single" w:sz="4" w:space="0" w:color="auto"/>
            </w:tcBorders>
            <w:shd w:val="clear" w:color="auto" w:fill="auto"/>
            <w:noWrap/>
            <w:vAlign w:val="bottom"/>
          </w:tcPr>
          <w:p w14:paraId="12812C82"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Elaine MacDuff</w:t>
            </w:r>
          </w:p>
        </w:tc>
        <w:tc>
          <w:tcPr>
            <w:tcW w:w="2746" w:type="dxa"/>
            <w:tcBorders>
              <w:top w:val="nil"/>
              <w:left w:val="nil"/>
              <w:bottom w:val="single" w:sz="4" w:space="0" w:color="auto"/>
              <w:right w:val="single" w:sz="4" w:space="0" w:color="auto"/>
            </w:tcBorders>
            <w:shd w:val="clear" w:color="auto" w:fill="auto"/>
            <w:noWrap/>
            <w:vAlign w:val="bottom"/>
          </w:tcPr>
          <w:p w14:paraId="00951F78"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Fiona Roberts</w:t>
            </w:r>
          </w:p>
        </w:tc>
      </w:tr>
      <w:tr w:rsidR="00391ABF" w:rsidRPr="00391ABF" w14:paraId="05DF96BC"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2E83EC9B"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Craig Dick</w:t>
            </w:r>
          </w:p>
        </w:tc>
        <w:tc>
          <w:tcPr>
            <w:tcW w:w="2746" w:type="dxa"/>
            <w:tcBorders>
              <w:top w:val="nil"/>
              <w:left w:val="nil"/>
              <w:bottom w:val="single" w:sz="4" w:space="0" w:color="auto"/>
              <w:right w:val="single" w:sz="4" w:space="0" w:color="auto"/>
            </w:tcBorders>
            <w:shd w:val="clear" w:color="auto" w:fill="auto"/>
            <w:noWrap/>
            <w:vAlign w:val="bottom"/>
          </w:tcPr>
          <w:p w14:paraId="1618BE51"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w:t>
            </w:r>
            <w:proofErr w:type="spellStart"/>
            <w:r w:rsidRPr="00391ABF">
              <w:rPr>
                <w:rFonts w:ascii="Arial" w:hAnsi="Arial" w:cs="Arial"/>
                <w:color w:val="002060"/>
                <w:sz w:val="22"/>
                <w:szCs w:val="22"/>
              </w:rPr>
              <w:t>Noori</w:t>
            </w:r>
            <w:proofErr w:type="spellEnd"/>
            <w:r w:rsidRPr="00391ABF">
              <w:rPr>
                <w:rFonts w:ascii="Arial" w:hAnsi="Arial" w:cs="Arial"/>
                <w:color w:val="002060"/>
                <w:sz w:val="22"/>
                <w:szCs w:val="22"/>
              </w:rPr>
              <w:t xml:space="preserve"> </w:t>
            </w:r>
            <w:proofErr w:type="spellStart"/>
            <w:r w:rsidRPr="00391ABF">
              <w:rPr>
                <w:rFonts w:ascii="Arial" w:hAnsi="Arial" w:cs="Arial"/>
                <w:color w:val="002060"/>
                <w:sz w:val="22"/>
                <w:szCs w:val="22"/>
              </w:rPr>
              <w:t>Maka</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4E49F241"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Jonathan Salmond</w:t>
            </w:r>
          </w:p>
        </w:tc>
      </w:tr>
      <w:tr w:rsidR="00391ABF" w:rsidRPr="00391ABF" w14:paraId="7BD47710"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6DA66C15"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Sarah Digby</w:t>
            </w:r>
          </w:p>
        </w:tc>
        <w:tc>
          <w:tcPr>
            <w:tcW w:w="2746" w:type="dxa"/>
            <w:tcBorders>
              <w:top w:val="nil"/>
              <w:left w:val="nil"/>
              <w:bottom w:val="single" w:sz="4" w:space="0" w:color="auto"/>
              <w:right w:val="single" w:sz="4" w:space="0" w:color="auto"/>
            </w:tcBorders>
            <w:shd w:val="clear" w:color="auto" w:fill="auto"/>
            <w:noWrap/>
            <w:vAlign w:val="bottom"/>
          </w:tcPr>
          <w:p w14:paraId="248D4DE7"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Elizabeth Mallon</w:t>
            </w:r>
          </w:p>
        </w:tc>
        <w:tc>
          <w:tcPr>
            <w:tcW w:w="2746" w:type="dxa"/>
            <w:tcBorders>
              <w:top w:val="nil"/>
              <w:left w:val="nil"/>
              <w:bottom w:val="single" w:sz="4" w:space="0" w:color="auto"/>
              <w:right w:val="single" w:sz="4" w:space="0" w:color="auto"/>
            </w:tcBorders>
            <w:shd w:val="clear" w:color="auto" w:fill="auto"/>
            <w:noWrap/>
            <w:vAlign w:val="bottom"/>
          </w:tcPr>
          <w:p w14:paraId="5BF25C86"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Jill </w:t>
            </w:r>
            <w:proofErr w:type="spellStart"/>
            <w:r w:rsidRPr="00391ABF">
              <w:rPr>
                <w:rFonts w:ascii="Arial" w:hAnsi="Arial" w:cs="Arial"/>
                <w:color w:val="002060"/>
                <w:sz w:val="22"/>
                <w:szCs w:val="22"/>
              </w:rPr>
              <w:t>Slavin</w:t>
            </w:r>
            <w:proofErr w:type="spellEnd"/>
          </w:p>
        </w:tc>
      </w:tr>
      <w:tr w:rsidR="00391ABF" w:rsidRPr="00391ABF" w14:paraId="7FE4A9C1"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20E8A0B8"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Fraser </w:t>
            </w:r>
            <w:proofErr w:type="spellStart"/>
            <w:r w:rsidRPr="00391ABF">
              <w:rPr>
                <w:rFonts w:ascii="Arial" w:hAnsi="Arial" w:cs="Arial"/>
                <w:color w:val="002060"/>
                <w:sz w:val="22"/>
                <w:szCs w:val="22"/>
              </w:rPr>
              <w:t>Duthie</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176A68B8"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Douglas McLellan</w:t>
            </w:r>
          </w:p>
        </w:tc>
        <w:tc>
          <w:tcPr>
            <w:tcW w:w="2746" w:type="dxa"/>
            <w:tcBorders>
              <w:top w:val="nil"/>
              <w:left w:val="nil"/>
              <w:bottom w:val="single" w:sz="4" w:space="0" w:color="auto"/>
              <w:right w:val="single" w:sz="4" w:space="0" w:color="auto"/>
            </w:tcBorders>
            <w:shd w:val="clear" w:color="auto" w:fill="auto"/>
            <w:noWrap/>
            <w:vAlign w:val="bottom"/>
          </w:tcPr>
          <w:p w14:paraId="68402552"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Graeme Smith</w:t>
            </w:r>
          </w:p>
        </w:tc>
      </w:tr>
      <w:tr w:rsidR="00391ABF" w:rsidRPr="00391ABF" w14:paraId="4B8BC230"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025151B2"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Clair Evans</w:t>
            </w:r>
          </w:p>
        </w:tc>
        <w:tc>
          <w:tcPr>
            <w:tcW w:w="2746" w:type="dxa"/>
            <w:tcBorders>
              <w:top w:val="nil"/>
              <w:left w:val="nil"/>
              <w:bottom w:val="single" w:sz="4" w:space="0" w:color="auto"/>
              <w:right w:val="single" w:sz="4" w:space="0" w:color="auto"/>
            </w:tcBorders>
            <w:shd w:val="clear" w:color="auto" w:fill="auto"/>
            <w:noWrap/>
            <w:vAlign w:val="bottom"/>
          </w:tcPr>
          <w:p w14:paraId="04B7C174"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Lucy </w:t>
            </w:r>
            <w:proofErr w:type="spellStart"/>
            <w:r w:rsidRPr="00391ABF">
              <w:rPr>
                <w:rFonts w:ascii="Arial" w:hAnsi="Arial" w:cs="Arial"/>
                <w:color w:val="002060"/>
                <w:sz w:val="22"/>
                <w:szCs w:val="22"/>
              </w:rPr>
              <w:t>Melly</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188543EE"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Alex Stan</w:t>
            </w:r>
          </w:p>
        </w:tc>
      </w:tr>
      <w:tr w:rsidR="00391ABF" w:rsidRPr="00391ABF" w14:paraId="66D6B91B"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4BA599FE" w14:textId="77777777" w:rsidR="00391ABF" w:rsidRPr="00391ABF" w:rsidRDefault="00391ABF" w:rsidP="00391ABF">
            <w:pPr>
              <w:spacing w:line="360" w:lineRule="auto"/>
              <w:rPr>
                <w:rFonts w:ascii="Arial" w:hAnsi="Arial" w:cs="Arial"/>
                <w:color w:val="002060"/>
                <w:sz w:val="22"/>
                <w:szCs w:val="22"/>
              </w:rPr>
            </w:pPr>
            <w:proofErr w:type="spellStart"/>
            <w:r w:rsidRPr="00391ABF">
              <w:rPr>
                <w:rFonts w:ascii="Arial" w:hAnsi="Arial" w:cs="Arial"/>
                <w:color w:val="002060"/>
                <w:sz w:val="22"/>
                <w:szCs w:val="22"/>
              </w:rPr>
              <w:t>Sioban</w:t>
            </w:r>
            <w:proofErr w:type="spellEnd"/>
            <w:r w:rsidRPr="00391ABF">
              <w:rPr>
                <w:rFonts w:ascii="Arial" w:hAnsi="Arial" w:cs="Arial"/>
                <w:color w:val="002060"/>
                <w:sz w:val="22"/>
                <w:szCs w:val="22"/>
              </w:rPr>
              <w:t xml:space="preserve"> Fraser</w:t>
            </w:r>
          </w:p>
        </w:tc>
        <w:tc>
          <w:tcPr>
            <w:tcW w:w="2746" w:type="dxa"/>
            <w:tcBorders>
              <w:top w:val="nil"/>
              <w:left w:val="nil"/>
              <w:bottom w:val="single" w:sz="4" w:space="0" w:color="auto"/>
              <w:right w:val="single" w:sz="4" w:space="0" w:color="auto"/>
            </w:tcBorders>
            <w:shd w:val="clear" w:color="auto" w:fill="auto"/>
            <w:noWrap/>
            <w:vAlign w:val="bottom"/>
          </w:tcPr>
          <w:p w14:paraId="2B1192AC"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David Millan</w:t>
            </w:r>
          </w:p>
        </w:tc>
        <w:tc>
          <w:tcPr>
            <w:tcW w:w="2746" w:type="dxa"/>
            <w:tcBorders>
              <w:top w:val="nil"/>
              <w:left w:val="nil"/>
              <w:bottom w:val="single" w:sz="4" w:space="0" w:color="auto"/>
              <w:right w:val="single" w:sz="4" w:space="0" w:color="auto"/>
            </w:tcBorders>
            <w:shd w:val="clear" w:color="auto" w:fill="auto"/>
            <w:noWrap/>
            <w:vAlign w:val="bottom"/>
          </w:tcPr>
          <w:p w14:paraId="5C348B74"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Willie Stewart</w:t>
            </w:r>
          </w:p>
        </w:tc>
      </w:tr>
      <w:tr w:rsidR="00391ABF" w:rsidRPr="00391ABF" w14:paraId="3A08EA64"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56882416"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Paul French</w:t>
            </w:r>
          </w:p>
        </w:tc>
        <w:tc>
          <w:tcPr>
            <w:tcW w:w="2746" w:type="dxa"/>
            <w:tcBorders>
              <w:top w:val="nil"/>
              <w:left w:val="nil"/>
              <w:bottom w:val="single" w:sz="4" w:space="0" w:color="auto"/>
              <w:right w:val="single" w:sz="4" w:space="0" w:color="auto"/>
            </w:tcBorders>
            <w:shd w:val="clear" w:color="auto" w:fill="auto"/>
            <w:noWrap/>
            <w:vAlign w:val="bottom"/>
          </w:tcPr>
          <w:p w14:paraId="3FDD53AF"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Colin </w:t>
            </w:r>
            <w:proofErr w:type="spellStart"/>
            <w:r w:rsidRPr="00391ABF">
              <w:rPr>
                <w:rFonts w:ascii="Arial" w:hAnsi="Arial" w:cs="Arial"/>
                <w:color w:val="002060"/>
                <w:sz w:val="22"/>
                <w:szCs w:val="22"/>
              </w:rPr>
              <w:t>Moyes</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28E0256F" w14:textId="77777777" w:rsidR="00391ABF" w:rsidRPr="00391ABF" w:rsidRDefault="00391ABF" w:rsidP="00391ABF">
            <w:pPr>
              <w:spacing w:line="360" w:lineRule="auto"/>
              <w:rPr>
                <w:rFonts w:ascii="Arial" w:hAnsi="Arial" w:cs="Arial"/>
                <w:color w:val="002060"/>
                <w:sz w:val="22"/>
                <w:szCs w:val="22"/>
              </w:rPr>
            </w:pPr>
            <w:proofErr w:type="spellStart"/>
            <w:r w:rsidRPr="00391ABF">
              <w:rPr>
                <w:rFonts w:ascii="Arial" w:hAnsi="Arial" w:cs="Arial"/>
                <w:color w:val="002060"/>
                <w:sz w:val="22"/>
                <w:szCs w:val="22"/>
              </w:rPr>
              <w:t>Sheeba</w:t>
            </w:r>
            <w:proofErr w:type="spellEnd"/>
            <w:r w:rsidRPr="00391ABF">
              <w:rPr>
                <w:rFonts w:ascii="Arial" w:hAnsi="Arial" w:cs="Arial"/>
                <w:color w:val="002060"/>
                <w:sz w:val="22"/>
                <w:szCs w:val="22"/>
              </w:rPr>
              <w:t xml:space="preserve"> Syed</w:t>
            </w:r>
          </w:p>
        </w:tc>
      </w:tr>
      <w:tr w:rsidR="00391ABF" w:rsidRPr="00391ABF" w14:paraId="4E0ACA56"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0314DAB8"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John </w:t>
            </w:r>
            <w:proofErr w:type="spellStart"/>
            <w:r w:rsidRPr="00391ABF">
              <w:rPr>
                <w:rFonts w:ascii="Arial" w:hAnsi="Arial" w:cs="Arial"/>
                <w:color w:val="002060"/>
                <w:sz w:val="22"/>
                <w:szCs w:val="22"/>
              </w:rPr>
              <w:t>Goodlad</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521776E5"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Amanda Murphy</w:t>
            </w:r>
          </w:p>
        </w:tc>
        <w:tc>
          <w:tcPr>
            <w:tcW w:w="2746" w:type="dxa"/>
            <w:tcBorders>
              <w:top w:val="nil"/>
              <w:left w:val="nil"/>
              <w:bottom w:val="single" w:sz="4" w:space="0" w:color="auto"/>
              <w:right w:val="single" w:sz="4" w:space="0" w:color="auto"/>
            </w:tcBorders>
            <w:shd w:val="clear" w:color="auto" w:fill="auto"/>
            <w:noWrap/>
            <w:vAlign w:val="bottom"/>
          </w:tcPr>
          <w:p w14:paraId="693915EB"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Chee </w:t>
            </w:r>
            <w:proofErr w:type="spellStart"/>
            <w:r w:rsidRPr="00391ABF">
              <w:rPr>
                <w:rFonts w:ascii="Arial" w:hAnsi="Arial" w:cs="Arial"/>
                <w:color w:val="002060"/>
                <w:sz w:val="22"/>
                <w:szCs w:val="22"/>
              </w:rPr>
              <w:t>Thum</w:t>
            </w:r>
            <w:proofErr w:type="spellEnd"/>
          </w:p>
        </w:tc>
      </w:tr>
      <w:tr w:rsidR="00391ABF" w:rsidRPr="00391ABF" w14:paraId="6CD26B99"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0F0129A6"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Zoltan </w:t>
            </w:r>
            <w:proofErr w:type="spellStart"/>
            <w:r w:rsidRPr="00391ABF">
              <w:rPr>
                <w:rFonts w:ascii="Arial" w:hAnsi="Arial" w:cs="Arial"/>
                <w:color w:val="002060"/>
                <w:sz w:val="22"/>
                <w:szCs w:val="22"/>
              </w:rPr>
              <w:t>Hanzely</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3AA78811" w14:textId="77777777" w:rsidR="00391ABF" w:rsidRPr="00391ABF" w:rsidRDefault="00391ABF" w:rsidP="00391ABF">
            <w:pPr>
              <w:spacing w:line="360" w:lineRule="auto"/>
              <w:rPr>
                <w:rFonts w:ascii="Arial" w:hAnsi="Arial" w:cs="Arial"/>
                <w:color w:val="002060"/>
                <w:sz w:val="22"/>
                <w:szCs w:val="22"/>
              </w:rPr>
            </w:pPr>
            <w:proofErr w:type="spellStart"/>
            <w:r w:rsidRPr="00391ABF">
              <w:rPr>
                <w:rFonts w:ascii="Arial" w:hAnsi="Arial" w:cs="Arial"/>
                <w:color w:val="002060"/>
                <w:sz w:val="22"/>
                <w:szCs w:val="22"/>
              </w:rPr>
              <w:t>Khun</w:t>
            </w:r>
            <w:proofErr w:type="spellEnd"/>
            <w:r w:rsidRPr="00391ABF">
              <w:rPr>
                <w:rFonts w:ascii="Arial" w:hAnsi="Arial" w:cs="Arial"/>
                <w:color w:val="002060"/>
                <w:sz w:val="22"/>
                <w:szCs w:val="22"/>
              </w:rPr>
              <w:t xml:space="preserve"> La Win </w:t>
            </w:r>
            <w:proofErr w:type="spellStart"/>
            <w:r w:rsidRPr="00391ABF">
              <w:rPr>
                <w:rFonts w:ascii="Arial" w:hAnsi="Arial" w:cs="Arial"/>
                <w:color w:val="002060"/>
                <w:sz w:val="22"/>
                <w:szCs w:val="22"/>
              </w:rPr>
              <w:t>Myint</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481BC7F2"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Cynthia van der Horst</w:t>
            </w:r>
          </w:p>
        </w:tc>
      </w:tr>
      <w:tr w:rsidR="00391ABF" w:rsidRPr="00391ABF" w14:paraId="2CC1734A"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5F76C0DF"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Christina Harper</w:t>
            </w:r>
          </w:p>
        </w:tc>
        <w:tc>
          <w:tcPr>
            <w:tcW w:w="2746" w:type="dxa"/>
            <w:tcBorders>
              <w:top w:val="nil"/>
              <w:left w:val="nil"/>
              <w:bottom w:val="single" w:sz="4" w:space="0" w:color="auto"/>
              <w:right w:val="single" w:sz="4" w:space="0" w:color="auto"/>
            </w:tcBorders>
            <w:shd w:val="clear" w:color="auto" w:fill="auto"/>
            <w:noWrap/>
            <w:vAlign w:val="bottom"/>
          </w:tcPr>
          <w:p w14:paraId="69D20141"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Karin </w:t>
            </w:r>
            <w:proofErr w:type="spellStart"/>
            <w:r w:rsidRPr="00391ABF">
              <w:rPr>
                <w:rFonts w:ascii="Arial" w:hAnsi="Arial" w:cs="Arial"/>
                <w:color w:val="002060"/>
                <w:sz w:val="22"/>
                <w:szCs w:val="22"/>
              </w:rPr>
              <w:t>Oien</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3886F713"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Sylvia Wright</w:t>
            </w:r>
          </w:p>
        </w:tc>
      </w:tr>
      <w:tr w:rsidR="00391ABF" w:rsidRPr="00391ABF" w14:paraId="4EA49A1F"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14709A21"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Kevin Kinch</w:t>
            </w:r>
          </w:p>
        </w:tc>
        <w:tc>
          <w:tcPr>
            <w:tcW w:w="2746" w:type="dxa"/>
            <w:tcBorders>
              <w:top w:val="nil"/>
              <w:left w:val="nil"/>
              <w:bottom w:val="single" w:sz="4" w:space="0" w:color="auto"/>
              <w:right w:val="single" w:sz="4" w:space="0" w:color="auto"/>
            </w:tcBorders>
            <w:shd w:val="clear" w:color="auto" w:fill="auto"/>
            <w:noWrap/>
            <w:vAlign w:val="bottom"/>
          </w:tcPr>
          <w:p w14:paraId="3ED598F7"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Maxine Paul</w:t>
            </w:r>
          </w:p>
        </w:tc>
        <w:tc>
          <w:tcPr>
            <w:tcW w:w="2746" w:type="dxa"/>
            <w:tcBorders>
              <w:top w:val="nil"/>
              <w:left w:val="nil"/>
              <w:bottom w:val="single" w:sz="4" w:space="0" w:color="auto"/>
              <w:right w:val="single" w:sz="4" w:space="0" w:color="auto"/>
            </w:tcBorders>
            <w:shd w:val="clear" w:color="auto" w:fill="auto"/>
            <w:noWrap/>
            <w:vAlign w:val="bottom"/>
          </w:tcPr>
          <w:p w14:paraId="2359FF51"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Amy Young</w:t>
            </w:r>
          </w:p>
        </w:tc>
      </w:tr>
      <w:tr w:rsidR="00391ABF" w:rsidRPr="00391ABF" w14:paraId="7C3185F4"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1BB96CFB"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David </w:t>
            </w:r>
            <w:proofErr w:type="spellStart"/>
            <w:r w:rsidRPr="00391ABF">
              <w:rPr>
                <w:rFonts w:ascii="Arial" w:hAnsi="Arial" w:cs="Arial"/>
                <w:color w:val="002060"/>
                <w:sz w:val="22"/>
                <w:szCs w:val="22"/>
              </w:rPr>
              <w:t>Kipgen</w:t>
            </w:r>
            <w:proofErr w:type="spellEnd"/>
          </w:p>
        </w:tc>
        <w:tc>
          <w:tcPr>
            <w:tcW w:w="2746" w:type="dxa"/>
            <w:tcBorders>
              <w:top w:val="nil"/>
              <w:left w:val="nil"/>
              <w:bottom w:val="single" w:sz="4" w:space="0" w:color="auto"/>
              <w:right w:val="single" w:sz="4" w:space="0" w:color="auto"/>
            </w:tcBorders>
            <w:shd w:val="clear" w:color="auto" w:fill="auto"/>
            <w:noWrap/>
            <w:vAlign w:val="bottom"/>
          </w:tcPr>
          <w:p w14:paraId="3396AB3B"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Jane Paxton</w:t>
            </w:r>
            <w:r w:rsidRPr="00391ABF" w:rsidDel="00B71AAE">
              <w:rPr>
                <w:rFonts w:ascii="Arial" w:hAnsi="Arial" w:cs="Arial"/>
                <w:color w:val="002060"/>
                <w:sz w:val="22"/>
                <w:szCs w:val="22"/>
              </w:rPr>
              <w:t xml:space="preserve"> </w:t>
            </w:r>
          </w:p>
        </w:tc>
        <w:tc>
          <w:tcPr>
            <w:tcW w:w="2746" w:type="dxa"/>
            <w:tcBorders>
              <w:top w:val="nil"/>
              <w:left w:val="nil"/>
              <w:bottom w:val="single" w:sz="4" w:space="0" w:color="auto"/>
              <w:right w:val="single" w:sz="4" w:space="0" w:color="auto"/>
            </w:tcBorders>
            <w:shd w:val="clear" w:color="auto" w:fill="auto"/>
            <w:noWrap/>
            <w:vAlign w:val="bottom"/>
          </w:tcPr>
          <w:p w14:paraId="3633CC4D"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Kirsty Young</w:t>
            </w:r>
          </w:p>
        </w:tc>
      </w:tr>
      <w:tr w:rsidR="00391ABF" w:rsidRPr="00391ABF" w14:paraId="70AF53C4" w14:textId="77777777" w:rsidTr="00391ABF">
        <w:trPr>
          <w:trHeight w:val="255"/>
        </w:trPr>
        <w:tc>
          <w:tcPr>
            <w:tcW w:w="2745" w:type="dxa"/>
            <w:tcBorders>
              <w:top w:val="nil"/>
              <w:left w:val="single" w:sz="4" w:space="0" w:color="auto"/>
              <w:bottom w:val="single" w:sz="4" w:space="0" w:color="auto"/>
              <w:right w:val="single" w:sz="4" w:space="0" w:color="auto"/>
            </w:tcBorders>
            <w:shd w:val="clear" w:color="auto" w:fill="auto"/>
            <w:noWrap/>
            <w:vAlign w:val="bottom"/>
          </w:tcPr>
          <w:p w14:paraId="12ECD5A2"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Gabriele </w:t>
            </w:r>
            <w:proofErr w:type="spellStart"/>
            <w:r w:rsidRPr="00391ABF">
              <w:rPr>
                <w:rFonts w:ascii="Arial" w:hAnsi="Arial" w:cs="Arial"/>
                <w:color w:val="002060"/>
                <w:sz w:val="22"/>
                <w:szCs w:val="22"/>
              </w:rPr>
              <w:t>Kohnen</w:t>
            </w:r>
            <w:proofErr w:type="spellEnd"/>
            <w:r w:rsidRPr="00391ABF" w:rsidDel="001A059E">
              <w:rPr>
                <w:rFonts w:ascii="Arial" w:hAnsi="Arial" w:cs="Arial"/>
                <w:color w:val="002060"/>
                <w:sz w:val="22"/>
                <w:szCs w:val="22"/>
              </w:rPr>
              <w:t xml:space="preserve"> </w:t>
            </w:r>
          </w:p>
        </w:tc>
        <w:tc>
          <w:tcPr>
            <w:tcW w:w="2746" w:type="dxa"/>
            <w:tcBorders>
              <w:top w:val="nil"/>
              <w:left w:val="nil"/>
              <w:bottom w:val="single" w:sz="4" w:space="0" w:color="auto"/>
              <w:right w:val="single" w:sz="4" w:space="0" w:color="auto"/>
            </w:tcBorders>
            <w:shd w:val="clear" w:color="auto" w:fill="auto"/>
            <w:noWrap/>
            <w:vAlign w:val="bottom"/>
          </w:tcPr>
          <w:p w14:paraId="22CC6239" w14:textId="77777777" w:rsidR="00391ABF" w:rsidRPr="00391ABF" w:rsidRDefault="00391ABF" w:rsidP="00391ABF">
            <w:pPr>
              <w:spacing w:line="360" w:lineRule="auto"/>
              <w:rPr>
                <w:rFonts w:ascii="Arial" w:hAnsi="Arial" w:cs="Arial"/>
                <w:color w:val="002060"/>
                <w:sz w:val="22"/>
                <w:szCs w:val="22"/>
              </w:rPr>
            </w:pPr>
          </w:p>
        </w:tc>
        <w:tc>
          <w:tcPr>
            <w:tcW w:w="2746" w:type="dxa"/>
            <w:tcBorders>
              <w:top w:val="nil"/>
              <w:left w:val="nil"/>
              <w:bottom w:val="single" w:sz="4" w:space="0" w:color="auto"/>
              <w:right w:val="single" w:sz="4" w:space="0" w:color="auto"/>
            </w:tcBorders>
            <w:shd w:val="clear" w:color="auto" w:fill="auto"/>
            <w:noWrap/>
            <w:vAlign w:val="bottom"/>
          </w:tcPr>
          <w:p w14:paraId="15E0EB4B" w14:textId="77777777" w:rsidR="00391ABF" w:rsidRPr="00391ABF" w:rsidRDefault="00391ABF" w:rsidP="00391ABF">
            <w:pPr>
              <w:spacing w:line="360" w:lineRule="auto"/>
              <w:rPr>
                <w:rFonts w:ascii="Arial" w:hAnsi="Arial" w:cs="Arial"/>
                <w:color w:val="002060"/>
                <w:sz w:val="22"/>
                <w:szCs w:val="22"/>
              </w:rPr>
            </w:pPr>
          </w:p>
        </w:tc>
      </w:tr>
    </w:tbl>
    <w:p w14:paraId="79797900" w14:textId="77777777" w:rsidR="00391ABF" w:rsidRPr="00391ABF" w:rsidRDefault="00391ABF" w:rsidP="00391ABF">
      <w:pPr>
        <w:pStyle w:val="BodyText"/>
        <w:spacing w:line="360" w:lineRule="auto"/>
        <w:rPr>
          <w:rFonts w:ascii="Arial" w:hAnsi="Arial" w:cs="Arial"/>
          <w:b/>
          <w:color w:val="002060"/>
          <w:sz w:val="22"/>
          <w:szCs w:val="22"/>
        </w:rPr>
      </w:pPr>
    </w:p>
    <w:p w14:paraId="5C84BC38" w14:textId="77777777" w:rsidR="00391ABF" w:rsidRPr="00391ABF" w:rsidRDefault="00391ABF" w:rsidP="00391ABF">
      <w:pPr>
        <w:pStyle w:val="BodyText"/>
        <w:spacing w:line="360" w:lineRule="auto"/>
        <w:rPr>
          <w:rFonts w:ascii="Arial" w:hAnsi="Arial" w:cs="Arial"/>
          <w:b/>
          <w:color w:val="002060"/>
          <w:sz w:val="22"/>
          <w:szCs w:val="22"/>
        </w:rPr>
      </w:pPr>
      <w:r w:rsidRPr="00391ABF">
        <w:rPr>
          <w:rFonts w:ascii="Arial" w:hAnsi="Arial" w:cs="Arial"/>
          <w:b/>
          <w:color w:val="002060"/>
          <w:sz w:val="22"/>
          <w:szCs w:val="22"/>
        </w:rPr>
        <w:t>Number and grades of members of other staff:</w:t>
      </w:r>
    </w:p>
    <w:p w14:paraId="6B35A9A6" w14:textId="77777777" w:rsidR="00391ABF" w:rsidRPr="00391ABF" w:rsidRDefault="00391ABF" w:rsidP="00391ABF">
      <w:pPr>
        <w:pStyle w:val="BodyText"/>
        <w:numPr>
          <w:ilvl w:val="0"/>
          <w:numId w:val="40"/>
        </w:numPr>
        <w:spacing w:after="0" w:line="360" w:lineRule="auto"/>
        <w:rPr>
          <w:rFonts w:ascii="Arial" w:hAnsi="Arial" w:cs="Arial"/>
          <w:b/>
          <w:bCs/>
          <w:color w:val="002060"/>
          <w:sz w:val="22"/>
          <w:szCs w:val="22"/>
        </w:rPr>
      </w:pPr>
      <w:r w:rsidRPr="00391ABF">
        <w:rPr>
          <w:rFonts w:ascii="Arial" w:hAnsi="Arial" w:cs="Arial"/>
          <w:b/>
          <w:bCs/>
          <w:color w:val="002060"/>
          <w:sz w:val="22"/>
          <w:szCs w:val="22"/>
        </w:rPr>
        <w:t xml:space="preserve">25 trainee medical staff </w:t>
      </w:r>
    </w:p>
    <w:p w14:paraId="78348D64" w14:textId="269DE2AA" w:rsidR="00D21ACC" w:rsidRPr="00391ABF" w:rsidRDefault="00391ABF" w:rsidP="00391ABF">
      <w:pPr>
        <w:pStyle w:val="BodyText"/>
        <w:numPr>
          <w:ilvl w:val="0"/>
          <w:numId w:val="40"/>
        </w:numPr>
        <w:spacing w:after="0" w:line="360" w:lineRule="auto"/>
        <w:rPr>
          <w:rFonts w:ascii="Arial" w:hAnsi="Arial" w:cs="Arial"/>
          <w:b/>
          <w:color w:val="002060"/>
          <w:sz w:val="22"/>
          <w:szCs w:val="22"/>
        </w:rPr>
      </w:pPr>
      <w:r w:rsidRPr="00391ABF">
        <w:rPr>
          <w:rFonts w:ascii="Arial" w:hAnsi="Arial" w:cs="Arial"/>
          <w:b/>
          <w:color w:val="002060"/>
          <w:sz w:val="22"/>
          <w:szCs w:val="22"/>
        </w:rPr>
        <w:t>216 BMS/A&amp;C Staff</w:t>
      </w:r>
    </w:p>
    <w:p w14:paraId="13211DC6" w14:textId="77777777" w:rsidR="00D21ACC" w:rsidRPr="00391ABF" w:rsidRDefault="00D21ACC" w:rsidP="00391ABF">
      <w:pPr>
        <w:rPr>
          <w:rFonts w:ascii="Arial" w:hAnsi="Arial" w:cs="Arial"/>
          <w:b/>
          <w:bCs/>
          <w:color w:val="002060"/>
          <w:sz w:val="22"/>
          <w:szCs w:val="22"/>
        </w:rPr>
      </w:pPr>
    </w:p>
    <w:p w14:paraId="7F113707" w14:textId="17824343"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391ABF">
        <w:rPr>
          <w:rFonts w:ascii="Arial" w:hAnsi="Arial" w:cs="Arial"/>
          <w:b/>
          <w:bCs/>
          <w:color w:val="002060"/>
          <w:sz w:val="32"/>
          <w:szCs w:val="32"/>
        </w:rPr>
        <w:t>:</w:t>
      </w:r>
      <w:r w:rsidR="008502BD" w:rsidRPr="008A52ED">
        <w:rPr>
          <w:rFonts w:ascii="Arial" w:hAnsi="Arial" w:cs="Arial"/>
          <w:b/>
          <w:bCs/>
          <w:color w:val="002060"/>
          <w:sz w:val="32"/>
          <w:szCs w:val="32"/>
        </w:rPr>
        <w:tab/>
      </w:r>
    </w:p>
    <w:p w14:paraId="7B469FC5" w14:textId="77777777" w:rsidR="00391ABF" w:rsidRDefault="00391ABF" w:rsidP="00391ABF">
      <w:pPr>
        <w:spacing w:line="360" w:lineRule="auto"/>
        <w:rPr>
          <w:rFonts w:ascii="Arial" w:hAnsi="Arial" w:cs="Arial"/>
          <w:b/>
          <w:sz w:val="22"/>
          <w:szCs w:val="22"/>
        </w:rPr>
      </w:pPr>
    </w:p>
    <w:p w14:paraId="0105F61D"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Duties of the Post</w:t>
      </w:r>
    </w:p>
    <w:p w14:paraId="38A2EC1F"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Details of clinical commitments:</w:t>
      </w:r>
    </w:p>
    <w:p w14:paraId="5D49412B"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To provide a diagnostic pathology service in conjunction with the other consultant pathologists for NHS Greater Glasgow and Clyde, based at Department of Pathology, Queen Elizabeth University Hospital, </w:t>
      </w:r>
      <w:proofErr w:type="gramStart"/>
      <w:r w:rsidRPr="00391ABF">
        <w:rPr>
          <w:rFonts w:ascii="Arial" w:hAnsi="Arial" w:cs="Arial"/>
          <w:color w:val="002060"/>
          <w:sz w:val="22"/>
          <w:szCs w:val="22"/>
        </w:rPr>
        <w:t>Glasgow</w:t>
      </w:r>
      <w:proofErr w:type="gramEnd"/>
      <w:r w:rsidRPr="00391ABF">
        <w:rPr>
          <w:rFonts w:ascii="Arial" w:hAnsi="Arial" w:cs="Arial"/>
          <w:color w:val="002060"/>
          <w:sz w:val="22"/>
          <w:szCs w:val="22"/>
        </w:rPr>
        <w:t xml:space="preserve">. To participate in multidisciplinary team meetings and provide regular </w:t>
      </w:r>
      <w:proofErr w:type="spellStart"/>
      <w:r w:rsidRPr="00391ABF">
        <w:rPr>
          <w:rFonts w:ascii="Arial" w:hAnsi="Arial" w:cs="Arial"/>
          <w:color w:val="002060"/>
          <w:sz w:val="22"/>
          <w:szCs w:val="22"/>
        </w:rPr>
        <w:t>clinico</w:t>
      </w:r>
      <w:proofErr w:type="spellEnd"/>
      <w:r w:rsidRPr="00391ABF">
        <w:rPr>
          <w:rFonts w:ascii="Arial" w:hAnsi="Arial" w:cs="Arial"/>
          <w:color w:val="002060"/>
          <w:sz w:val="22"/>
          <w:szCs w:val="22"/>
        </w:rPr>
        <w:t xml:space="preserve">-pathological meetings with surgeons, physicians and oncologist, as required. </w:t>
      </w:r>
    </w:p>
    <w:p w14:paraId="585B1388" w14:textId="77777777" w:rsidR="00391ABF" w:rsidRPr="00391ABF" w:rsidRDefault="00391ABF" w:rsidP="00391ABF">
      <w:pPr>
        <w:tabs>
          <w:tab w:val="num" w:pos="709"/>
        </w:tabs>
        <w:spacing w:line="360" w:lineRule="auto"/>
        <w:rPr>
          <w:rFonts w:ascii="Arial" w:hAnsi="Arial" w:cs="Arial"/>
          <w:color w:val="002060"/>
          <w:sz w:val="22"/>
          <w:szCs w:val="22"/>
        </w:rPr>
      </w:pPr>
      <w:r w:rsidRPr="00391ABF">
        <w:rPr>
          <w:rFonts w:ascii="Arial" w:hAnsi="Arial" w:cs="Arial"/>
          <w:color w:val="002060"/>
          <w:sz w:val="22"/>
          <w:szCs w:val="22"/>
        </w:rPr>
        <w:t>Teaching-undergraduate/postgraduate duties (other than those remunerated by a university or by fees in accordance with paragraph 172 of the Terms and Conditions of Service)</w:t>
      </w:r>
    </w:p>
    <w:p w14:paraId="2F95EF7F"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 xml:space="preserve">It is hoped that the appointee will take an active part in the training and supervision of Specialty Trainees in diagnostic histopathology and teaching of department BMS staff as part of their CPD </w:t>
      </w:r>
      <w:proofErr w:type="spellStart"/>
      <w:r w:rsidRPr="00391ABF">
        <w:rPr>
          <w:rFonts w:ascii="Arial" w:hAnsi="Arial" w:cs="Arial"/>
          <w:color w:val="002060"/>
          <w:sz w:val="22"/>
          <w:szCs w:val="22"/>
        </w:rPr>
        <w:t>programme</w:t>
      </w:r>
      <w:proofErr w:type="spellEnd"/>
      <w:r w:rsidRPr="00391ABF">
        <w:rPr>
          <w:rFonts w:ascii="Arial" w:hAnsi="Arial" w:cs="Arial"/>
          <w:color w:val="002060"/>
          <w:sz w:val="22"/>
          <w:szCs w:val="22"/>
        </w:rPr>
        <w:t>. Time for this would be separately negotiated as part of job planning.</w:t>
      </w:r>
    </w:p>
    <w:p w14:paraId="1124C350" w14:textId="77777777" w:rsidR="00391ABF" w:rsidRPr="00391ABF" w:rsidRDefault="00391ABF" w:rsidP="00391ABF">
      <w:pPr>
        <w:pStyle w:val="BodyText"/>
        <w:spacing w:line="360" w:lineRule="auto"/>
        <w:rPr>
          <w:rFonts w:ascii="Arial" w:hAnsi="Arial" w:cs="Arial"/>
          <w:color w:val="002060"/>
          <w:sz w:val="22"/>
          <w:szCs w:val="22"/>
        </w:rPr>
      </w:pPr>
      <w:r w:rsidRPr="00391ABF">
        <w:rPr>
          <w:rFonts w:ascii="Arial" w:hAnsi="Arial" w:cs="Arial"/>
          <w:color w:val="002060"/>
          <w:sz w:val="22"/>
          <w:szCs w:val="22"/>
        </w:rPr>
        <w:t>This would be separately negotiated as part of job planning</w:t>
      </w:r>
    </w:p>
    <w:p w14:paraId="37756000" w14:textId="5F6C470B" w:rsidR="00391ABF" w:rsidRPr="00391ABF" w:rsidRDefault="00391ABF" w:rsidP="00391ABF">
      <w:pPr>
        <w:tabs>
          <w:tab w:val="num" w:pos="709"/>
        </w:tabs>
        <w:spacing w:line="360" w:lineRule="auto"/>
        <w:rPr>
          <w:rFonts w:ascii="Arial" w:hAnsi="Arial" w:cs="Arial"/>
          <w:b/>
          <w:color w:val="002060"/>
          <w:sz w:val="22"/>
          <w:szCs w:val="22"/>
        </w:rPr>
      </w:pPr>
      <w:r w:rsidRPr="00391ABF">
        <w:rPr>
          <w:rFonts w:ascii="Arial" w:hAnsi="Arial" w:cs="Arial"/>
          <w:b/>
          <w:color w:val="002060"/>
          <w:sz w:val="22"/>
          <w:szCs w:val="22"/>
        </w:rPr>
        <w:t>Research – any research activities which are an inherent part of normal clinical duties:</w:t>
      </w:r>
    </w:p>
    <w:p w14:paraId="273C1FA1" w14:textId="57EE6236"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An interest in research would be desirable but not essential. Any research undertaken is subject to approval by the hospitals Ethics Committee and would require to be funded appropriately at source.</w:t>
      </w:r>
    </w:p>
    <w:p w14:paraId="48962174" w14:textId="77777777" w:rsidR="00391ABF" w:rsidRPr="00391ABF" w:rsidRDefault="00391ABF" w:rsidP="00391ABF">
      <w:pPr>
        <w:pStyle w:val="BodyText"/>
        <w:spacing w:line="360" w:lineRule="auto"/>
        <w:rPr>
          <w:rFonts w:ascii="Arial" w:hAnsi="Arial" w:cs="Arial"/>
          <w:b/>
          <w:color w:val="002060"/>
          <w:sz w:val="22"/>
          <w:szCs w:val="22"/>
        </w:rPr>
      </w:pPr>
      <w:r w:rsidRPr="00391ABF">
        <w:rPr>
          <w:rFonts w:ascii="Arial" w:hAnsi="Arial" w:cs="Arial"/>
          <w:b/>
          <w:color w:val="002060"/>
          <w:sz w:val="22"/>
          <w:szCs w:val="22"/>
        </w:rPr>
        <w:t>This would be separately negotiated as part of job planning</w:t>
      </w:r>
    </w:p>
    <w:p w14:paraId="46D00BFE" w14:textId="2EDBFA21" w:rsidR="00391ABF" w:rsidRPr="00391ABF" w:rsidRDefault="00391ABF" w:rsidP="00391ABF">
      <w:pPr>
        <w:tabs>
          <w:tab w:val="num" w:pos="709"/>
        </w:tabs>
        <w:spacing w:line="360" w:lineRule="auto"/>
        <w:rPr>
          <w:rFonts w:ascii="Arial" w:hAnsi="Arial" w:cs="Arial"/>
          <w:b/>
          <w:color w:val="002060"/>
          <w:sz w:val="22"/>
          <w:szCs w:val="22"/>
        </w:rPr>
      </w:pPr>
      <w:r w:rsidRPr="00391ABF">
        <w:rPr>
          <w:rFonts w:ascii="Arial" w:hAnsi="Arial" w:cs="Arial"/>
          <w:b/>
          <w:color w:val="002060"/>
          <w:sz w:val="22"/>
          <w:szCs w:val="22"/>
        </w:rPr>
        <w:t>Administration:</w:t>
      </w:r>
    </w:p>
    <w:p w14:paraId="3668D9E7"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Administrative duties including those associated with the running of the laboratory and maintenance of CPA accreditation standards.</w:t>
      </w:r>
    </w:p>
    <w:p w14:paraId="3DBBD828" w14:textId="6F3A9D10"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Timetable:</w:t>
      </w:r>
    </w:p>
    <w:p w14:paraId="09D8D6A1" w14:textId="36A85AC9"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Weekly provisional timetable of duties, including the location(s) at which they are to be performed; any duties which take place less frequently than once a week should be included with an indication of their average frequency.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11"/>
        <w:gridCol w:w="1088"/>
        <w:gridCol w:w="6111"/>
      </w:tblGrid>
      <w:tr w:rsidR="00391ABF" w:rsidRPr="00391ABF" w14:paraId="6796F425" w14:textId="77777777" w:rsidTr="00391ABF">
        <w:tblPrEx>
          <w:tblCellMar>
            <w:top w:w="0" w:type="dxa"/>
            <w:bottom w:w="0" w:type="dxa"/>
          </w:tblCellMar>
        </w:tblPrEx>
        <w:tc>
          <w:tcPr>
            <w:tcW w:w="1005" w:type="pct"/>
          </w:tcPr>
          <w:p w14:paraId="5EAE9D20" w14:textId="77777777" w:rsidR="00391ABF" w:rsidRPr="00391ABF" w:rsidRDefault="00391ABF" w:rsidP="00391ABF">
            <w:pPr>
              <w:spacing w:line="360" w:lineRule="auto"/>
              <w:rPr>
                <w:rFonts w:ascii="Arial" w:hAnsi="Arial" w:cs="Arial"/>
                <w:b/>
                <w:color w:val="002060"/>
                <w:sz w:val="20"/>
                <w:szCs w:val="20"/>
              </w:rPr>
            </w:pPr>
            <w:r w:rsidRPr="00391ABF">
              <w:rPr>
                <w:rFonts w:ascii="Arial" w:hAnsi="Arial" w:cs="Arial"/>
                <w:b/>
                <w:color w:val="002060"/>
                <w:sz w:val="20"/>
                <w:szCs w:val="20"/>
              </w:rPr>
              <w:t>DAY</w:t>
            </w:r>
          </w:p>
        </w:tc>
        <w:tc>
          <w:tcPr>
            <w:tcW w:w="604" w:type="pct"/>
          </w:tcPr>
          <w:p w14:paraId="6BCECF21" w14:textId="77777777" w:rsidR="00391ABF" w:rsidRPr="00391ABF" w:rsidRDefault="00391ABF" w:rsidP="00391ABF">
            <w:pPr>
              <w:spacing w:line="360" w:lineRule="auto"/>
              <w:rPr>
                <w:rFonts w:ascii="Arial" w:hAnsi="Arial" w:cs="Arial"/>
                <w:b/>
                <w:color w:val="002060"/>
                <w:sz w:val="20"/>
                <w:szCs w:val="20"/>
              </w:rPr>
            </w:pPr>
            <w:r w:rsidRPr="00391ABF">
              <w:rPr>
                <w:rFonts w:ascii="Arial" w:hAnsi="Arial" w:cs="Arial"/>
                <w:b/>
                <w:color w:val="002060"/>
                <w:sz w:val="20"/>
                <w:szCs w:val="20"/>
              </w:rPr>
              <w:t>HOURS</w:t>
            </w:r>
          </w:p>
        </w:tc>
        <w:tc>
          <w:tcPr>
            <w:tcW w:w="3392" w:type="pct"/>
          </w:tcPr>
          <w:p w14:paraId="77ED2483" w14:textId="77777777" w:rsidR="00391ABF" w:rsidRPr="00391ABF" w:rsidRDefault="00391ABF" w:rsidP="00391ABF">
            <w:pPr>
              <w:spacing w:line="360" w:lineRule="auto"/>
              <w:rPr>
                <w:rFonts w:ascii="Arial" w:hAnsi="Arial" w:cs="Arial"/>
                <w:b/>
                <w:color w:val="002060"/>
                <w:sz w:val="20"/>
                <w:szCs w:val="20"/>
              </w:rPr>
            </w:pPr>
            <w:r w:rsidRPr="00391ABF">
              <w:rPr>
                <w:rFonts w:ascii="Arial" w:hAnsi="Arial" w:cs="Arial"/>
                <w:b/>
                <w:color w:val="002060"/>
                <w:sz w:val="20"/>
                <w:szCs w:val="20"/>
              </w:rPr>
              <w:t>Hospital or clinic and description of duties e.g. ward</w:t>
            </w:r>
          </w:p>
          <w:p w14:paraId="5F9EBBC9" w14:textId="77777777" w:rsidR="00391ABF" w:rsidRPr="00391ABF" w:rsidRDefault="00391ABF" w:rsidP="00391ABF">
            <w:pPr>
              <w:spacing w:line="360" w:lineRule="auto"/>
              <w:rPr>
                <w:rFonts w:ascii="Arial" w:hAnsi="Arial" w:cs="Arial"/>
                <w:b/>
                <w:color w:val="002060"/>
                <w:sz w:val="20"/>
                <w:szCs w:val="20"/>
              </w:rPr>
            </w:pPr>
            <w:r w:rsidRPr="00391ABF">
              <w:rPr>
                <w:rFonts w:ascii="Arial" w:hAnsi="Arial" w:cs="Arial"/>
                <w:b/>
                <w:color w:val="002060"/>
                <w:sz w:val="20"/>
                <w:szCs w:val="20"/>
              </w:rPr>
              <w:t>rounds, theatres, out-patients etc.</w:t>
            </w:r>
          </w:p>
        </w:tc>
      </w:tr>
      <w:tr w:rsidR="00391ABF" w:rsidRPr="00391ABF" w14:paraId="37179AE1" w14:textId="77777777" w:rsidTr="00391ABF">
        <w:tblPrEx>
          <w:tblCellMar>
            <w:top w:w="0" w:type="dxa"/>
            <w:bottom w:w="0" w:type="dxa"/>
          </w:tblCellMar>
        </w:tblPrEx>
        <w:tc>
          <w:tcPr>
            <w:tcW w:w="1005" w:type="pct"/>
          </w:tcPr>
          <w:p w14:paraId="25211F63"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am</w:t>
            </w:r>
          </w:p>
          <w:p w14:paraId="02BDDAAE"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MON</w:t>
            </w:r>
          </w:p>
          <w:p w14:paraId="487B0427"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pm</w:t>
            </w:r>
          </w:p>
        </w:tc>
        <w:tc>
          <w:tcPr>
            <w:tcW w:w="604" w:type="pct"/>
          </w:tcPr>
          <w:p w14:paraId="325B15D3" w14:textId="77777777" w:rsidR="00391ABF" w:rsidRPr="00391ABF" w:rsidRDefault="00391ABF" w:rsidP="00391ABF">
            <w:pPr>
              <w:spacing w:line="360" w:lineRule="auto"/>
              <w:rPr>
                <w:rFonts w:ascii="Arial" w:hAnsi="Arial" w:cs="Arial"/>
                <w:color w:val="002060"/>
                <w:sz w:val="20"/>
                <w:szCs w:val="20"/>
              </w:rPr>
            </w:pPr>
          </w:p>
        </w:tc>
        <w:tc>
          <w:tcPr>
            <w:tcW w:w="3392" w:type="pct"/>
          </w:tcPr>
          <w:p w14:paraId="6B611F55"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p w14:paraId="07FBFE5D" w14:textId="77777777" w:rsidR="00391ABF" w:rsidRPr="00391ABF" w:rsidRDefault="00391ABF" w:rsidP="00391ABF">
            <w:pPr>
              <w:spacing w:line="360" w:lineRule="auto"/>
              <w:rPr>
                <w:rFonts w:ascii="Arial" w:hAnsi="Arial" w:cs="Arial"/>
                <w:color w:val="002060"/>
                <w:sz w:val="20"/>
                <w:szCs w:val="20"/>
              </w:rPr>
            </w:pPr>
          </w:p>
          <w:p w14:paraId="6959DA46"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SPA</w:t>
            </w:r>
          </w:p>
        </w:tc>
      </w:tr>
      <w:tr w:rsidR="00391ABF" w:rsidRPr="00391ABF" w14:paraId="441ECE54" w14:textId="77777777" w:rsidTr="00391ABF">
        <w:tblPrEx>
          <w:tblCellMar>
            <w:top w:w="0" w:type="dxa"/>
            <w:bottom w:w="0" w:type="dxa"/>
          </w:tblCellMar>
        </w:tblPrEx>
        <w:tc>
          <w:tcPr>
            <w:tcW w:w="1005" w:type="pct"/>
          </w:tcPr>
          <w:p w14:paraId="1F9D6F59"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am</w:t>
            </w:r>
          </w:p>
          <w:p w14:paraId="75C5795A"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TUE</w:t>
            </w:r>
          </w:p>
          <w:p w14:paraId="33CD7199"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pm</w:t>
            </w:r>
          </w:p>
        </w:tc>
        <w:tc>
          <w:tcPr>
            <w:tcW w:w="604" w:type="pct"/>
          </w:tcPr>
          <w:p w14:paraId="6B8BD6D1" w14:textId="77777777" w:rsidR="00391ABF" w:rsidRPr="00391ABF" w:rsidRDefault="00391ABF" w:rsidP="00391ABF">
            <w:pPr>
              <w:spacing w:line="360" w:lineRule="auto"/>
              <w:rPr>
                <w:rFonts w:ascii="Arial" w:hAnsi="Arial" w:cs="Arial"/>
                <w:color w:val="002060"/>
                <w:sz w:val="20"/>
                <w:szCs w:val="20"/>
              </w:rPr>
            </w:pPr>
          </w:p>
        </w:tc>
        <w:tc>
          <w:tcPr>
            <w:tcW w:w="3392" w:type="pct"/>
          </w:tcPr>
          <w:p w14:paraId="6EBD00C4"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p w14:paraId="63D34E52" w14:textId="77777777" w:rsidR="00391ABF" w:rsidRPr="00391ABF" w:rsidRDefault="00391ABF" w:rsidP="00391ABF">
            <w:pPr>
              <w:spacing w:line="360" w:lineRule="auto"/>
              <w:rPr>
                <w:rFonts w:ascii="Arial" w:hAnsi="Arial" w:cs="Arial"/>
                <w:color w:val="002060"/>
                <w:sz w:val="20"/>
                <w:szCs w:val="20"/>
              </w:rPr>
            </w:pPr>
          </w:p>
          <w:p w14:paraId="3C708804"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tc>
      </w:tr>
      <w:tr w:rsidR="00391ABF" w:rsidRPr="00391ABF" w14:paraId="29C5AB92" w14:textId="77777777" w:rsidTr="00391ABF">
        <w:tblPrEx>
          <w:tblCellMar>
            <w:top w:w="0" w:type="dxa"/>
            <w:bottom w:w="0" w:type="dxa"/>
          </w:tblCellMar>
        </w:tblPrEx>
        <w:tc>
          <w:tcPr>
            <w:tcW w:w="1005" w:type="pct"/>
          </w:tcPr>
          <w:p w14:paraId="6CDE544A"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am</w:t>
            </w:r>
          </w:p>
          <w:p w14:paraId="28548AAD"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WED</w:t>
            </w:r>
          </w:p>
          <w:p w14:paraId="4E58E8FC"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pm</w:t>
            </w:r>
          </w:p>
        </w:tc>
        <w:tc>
          <w:tcPr>
            <w:tcW w:w="604" w:type="pct"/>
          </w:tcPr>
          <w:p w14:paraId="43EEF918" w14:textId="77777777" w:rsidR="00391ABF" w:rsidRPr="00391ABF" w:rsidRDefault="00391ABF" w:rsidP="00391ABF">
            <w:pPr>
              <w:spacing w:line="360" w:lineRule="auto"/>
              <w:rPr>
                <w:rFonts w:ascii="Arial" w:hAnsi="Arial" w:cs="Arial"/>
                <w:color w:val="002060"/>
                <w:sz w:val="20"/>
                <w:szCs w:val="20"/>
              </w:rPr>
            </w:pPr>
          </w:p>
        </w:tc>
        <w:tc>
          <w:tcPr>
            <w:tcW w:w="3392" w:type="pct"/>
          </w:tcPr>
          <w:p w14:paraId="41D6D6A0"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p w14:paraId="69F487D9" w14:textId="77777777" w:rsidR="00391ABF" w:rsidRPr="00391ABF" w:rsidRDefault="00391ABF" w:rsidP="00391ABF">
            <w:pPr>
              <w:spacing w:line="360" w:lineRule="auto"/>
              <w:rPr>
                <w:rFonts w:ascii="Arial" w:hAnsi="Arial" w:cs="Arial"/>
                <w:color w:val="002060"/>
                <w:sz w:val="20"/>
                <w:szCs w:val="20"/>
              </w:rPr>
            </w:pPr>
          </w:p>
          <w:p w14:paraId="650C73DC"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tc>
      </w:tr>
      <w:tr w:rsidR="00391ABF" w:rsidRPr="00391ABF" w14:paraId="6B453956" w14:textId="77777777" w:rsidTr="00391ABF">
        <w:tblPrEx>
          <w:tblCellMar>
            <w:top w:w="0" w:type="dxa"/>
            <w:bottom w:w="0" w:type="dxa"/>
          </w:tblCellMar>
        </w:tblPrEx>
        <w:tc>
          <w:tcPr>
            <w:tcW w:w="1005" w:type="pct"/>
          </w:tcPr>
          <w:p w14:paraId="1F53C20E"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am</w:t>
            </w:r>
          </w:p>
          <w:p w14:paraId="6B484789"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THU</w:t>
            </w:r>
          </w:p>
          <w:p w14:paraId="4EED324D"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pm</w:t>
            </w:r>
          </w:p>
        </w:tc>
        <w:tc>
          <w:tcPr>
            <w:tcW w:w="604" w:type="pct"/>
          </w:tcPr>
          <w:p w14:paraId="7CAFA496" w14:textId="77777777" w:rsidR="00391ABF" w:rsidRPr="00391ABF" w:rsidRDefault="00391ABF" w:rsidP="00391ABF">
            <w:pPr>
              <w:spacing w:line="360" w:lineRule="auto"/>
              <w:rPr>
                <w:rFonts w:ascii="Arial" w:hAnsi="Arial" w:cs="Arial"/>
                <w:color w:val="002060"/>
                <w:sz w:val="20"/>
                <w:szCs w:val="20"/>
              </w:rPr>
            </w:pPr>
          </w:p>
        </w:tc>
        <w:tc>
          <w:tcPr>
            <w:tcW w:w="3392" w:type="pct"/>
          </w:tcPr>
          <w:p w14:paraId="794A0EEB"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p w14:paraId="292B3419" w14:textId="77777777" w:rsidR="00391ABF" w:rsidRPr="00391ABF" w:rsidRDefault="00391ABF" w:rsidP="00391ABF">
            <w:pPr>
              <w:spacing w:line="360" w:lineRule="auto"/>
              <w:rPr>
                <w:rFonts w:ascii="Arial" w:hAnsi="Arial" w:cs="Arial"/>
                <w:color w:val="002060"/>
                <w:sz w:val="20"/>
                <w:szCs w:val="20"/>
              </w:rPr>
            </w:pPr>
          </w:p>
          <w:p w14:paraId="797A7E1E"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tc>
      </w:tr>
      <w:tr w:rsidR="00391ABF" w:rsidRPr="00391ABF" w14:paraId="232E5585" w14:textId="77777777" w:rsidTr="00391ABF">
        <w:tblPrEx>
          <w:tblCellMar>
            <w:top w:w="0" w:type="dxa"/>
            <w:bottom w:w="0" w:type="dxa"/>
          </w:tblCellMar>
        </w:tblPrEx>
        <w:tc>
          <w:tcPr>
            <w:tcW w:w="1005" w:type="pct"/>
          </w:tcPr>
          <w:p w14:paraId="59B57C92"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am</w:t>
            </w:r>
          </w:p>
          <w:p w14:paraId="2278CF46"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FRI</w:t>
            </w:r>
          </w:p>
          <w:p w14:paraId="0FB468EE"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 xml:space="preserve">                   pm</w:t>
            </w:r>
          </w:p>
        </w:tc>
        <w:tc>
          <w:tcPr>
            <w:tcW w:w="604" w:type="pct"/>
          </w:tcPr>
          <w:p w14:paraId="172A244B" w14:textId="77777777" w:rsidR="00391ABF" w:rsidRPr="00391ABF" w:rsidRDefault="00391ABF" w:rsidP="00391ABF">
            <w:pPr>
              <w:spacing w:line="360" w:lineRule="auto"/>
              <w:rPr>
                <w:rFonts w:ascii="Arial" w:hAnsi="Arial" w:cs="Arial"/>
                <w:color w:val="002060"/>
                <w:sz w:val="20"/>
                <w:szCs w:val="20"/>
              </w:rPr>
            </w:pPr>
          </w:p>
        </w:tc>
        <w:tc>
          <w:tcPr>
            <w:tcW w:w="3392" w:type="pct"/>
          </w:tcPr>
          <w:p w14:paraId="46BEFCB4"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p w14:paraId="27F16CB8" w14:textId="77777777" w:rsidR="00391ABF" w:rsidRPr="00391ABF" w:rsidRDefault="00391ABF" w:rsidP="00391ABF">
            <w:pPr>
              <w:spacing w:line="360" w:lineRule="auto"/>
              <w:rPr>
                <w:rFonts w:ascii="Arial" w:hAnsi="Arial" w:cs="Arial"/>
                <w:color w:val="002060"/>
                <w:sz w:val="20"/>
                <w:szCs w:val="20"/>
              </w:rPr>
            </w:pPr>
          </w:p>
          <w:p w14:paraId="73E494D3" w14:textId="77777777" w:rsidR="00391ABF" w:rsidRPr="00391ABF" w:rsidRDefault="00391ABF" w:rsidP="00391ABF">
            <w:pPr>
              <w:spacing w:line="360" w:lineRule="auto"/>
              <w:rPr>
                <w:rFonts w:ascii="Arial" w:hAnsi="Arial" w:cs="Arial"/>
                <w:color w:val="002060"/>
                <w:sz w:val="20"/>
                <w:szCs w:val="20"/>
              </w:rPr>
            </w:pPr>
            <w:r w:rsidRPr="00391ABF">
              <w:rPr>
                <w:rFonts w:ascii="Arial" w:hAnsi="Arial" w:cs="Arial"/>
                <w:color w:val="002060"/>
                <w:sz w:val="20"/>
                <w:szCs w:val="20"/>
              </w:rPr>
              <w:t>Direct Clinical Care</w:t>
            </w:r>
          </w:p>
        </w:tc>
      </w:tr>
    </w:tbl>
    <w:p w14:paraId="43939453" w14:textId="77777777" w:rsidR="00391ABF" w:rsidRPr="00391ABF" w:rsidRDefault="00391ABF" w:rsidP="00391ABF">
      <w:pPr>
        <w:pStyle w:val="BodyText"/>
        <w:spacing w:line="360" w:lineRule="auto"/>
        <w:rPr>
          <w:rFonts w:ascii="Arial" w:hAnsi="Arial" w:cs="Arial"/>
          <w:color w:val="002060"/>
          <w:sz w:val="22"/>
          <w:szCs w:val="22"/>
        </w:rPr>
      </w:pPr>
    </w:p>
    <w:p w14:paraId="0FAE1929" w14:textId="77777777" w:rsidR="00391ABF" w:rsidRPr="00391ABF" w:rsidRDefault="00391ABF" w:rsidP="00391ABF">
      <w:pPr>
        <w:spacing w:line="360" w:lineRule="auto"/>
        <w:rPr>
          <w:rFonts w:ascii="Arial" w:hAnsi="Arial" w:cs="Arial"/>
          <w:color w:val="002060"/>
          <w:sz w:val="22"/>
          <w:szCs w:val="22"/>
        </w:rPr>
      </w:pPr>
      <w:r w:rsidRPr="00391ABF">
        <w:rPr>
          <w:rStyle w:val="normalchar1"/>
          <w:rFonts w:ascii="Arial" w:hAnsi="Arial" w:cs="Arial"/>
          <w:bCs/>
          <w:color w:val="002060"/>
        </w:rPr>
        <w:t xml:space="preserve">NB: The basic contract will be for a 10 PA consultant contract.  A split of 9:1 between direct clinical care and supporting professional activities is now the advertised standard for all new consultant job plans in Scotland.   The one SPA minimum will reflect activity such as appraisal, personal audit and professional development occurring outside study leave time.   Once the candidate has been appointed more SPA time may be agreed for activities such as undergraduate and postgraduate medical training which takes place outside direct clinical care, as well as research and/or management.  These activities must be specifically and clearly identified and be agreed with the candidate and desired by the department.  </w:t>
      </w:r>
    </w:p>
    <w:p w14:paraId="2A06B0B0" w14:textId="77777777" w:rsidR="00391ABF" w:rsidRDefault="00391ABF" w:rsidP="00391ABF">
      <w:pPr>
        <w:spacing w:line="360" w:lineRule="auto"/>
        <w:rPr>
          <w:rFonts w:ascii="Arial" w:hAnsi="Arial" w:cs="Arial"/>
          <w:color w:val="002060"/>
          <w:sz w:val="22"/>
          <w:szCs w:val="22"/>
        </w:rPr>
      </w:pPr>
    </w:p>
    <w:p w14:paraId="383A886F" w14:textId="068CD173"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In addition to the duties mentioned above, duties at other hospitals administered by the Division may be necessary.</w:t>
      </w:r>
    </w:p>
    <w:p w14:paraId="3635442F" w14:textId="63E08AD2" w:rsidR="00391ABF" w:rsidRPr="00391ABF" w:rsidRDefault="00391ABF" w:rsidP="00391ABF">
      <w:pPr>
        <w:pStyle w:val="Heading1"/>
        <w:spacing w:line="360" w:lineRule="auto"/>
        <w:ind w:left="0" w:firstLine="0"/>
        <w:rPr>
          <w:color w:val="002060"/>
          <w:sz w:val="22"/>
          <w:szCs w:val="22"/>
        </w:rPr>
      </w:pPr>
      <w:r w:rsidRPr="00391ABF">
        <w:rPr>
          <w:color w:val="002060"/>
          <w:sz w:val="22"/>
          <w:szCs w:val="22"/>
        </w:rPr>
        <w:t>EMPLOYEE SPECIFICATION</w:t>
      </w:r>
    </w:p>
    <w:p w14:paraId="34858715"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JOB TITLE:</w:t>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t>Consultant Pathologist</w:t>
      </w:r>
      <w:r w:rsidRPr="00391ABF">
        <w:rPr>
          <w:rFonts w:ascii="Arial" w:hAnsi="Arial" w:cs="Arial"/>
          <w:b/>
          <w:color w:val="002060"/>
          <w:sz w:val="22"/>
          <w:szCs w:val="22"/>
        </w:rPr>
        <w:tab/>
      </w:r>
    </w:p>
    <w:p w14:paraId="019BF977"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GRADE:</w:t>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t>Consultant</w:t>
      </w:r>
      <w:r w:rsidRPr="00391ABF">
        <w:rPr>
          <w:rFonts w:ascii="Arial" w:hAnsi="Arial" w:cs="Arial"/>
          <w:b/>
          <w:color w:val="002060"/>
          <w:sz w:val="22"/>
          <w:szCs w:val="22"/>
        </w:rPr>
        <w:tab/>
      </w:r>
      <w:r w:rsidRPr="00391ABF">
        <w:rPr>
          <w:rFonts w:ascii="Arial" w:hAnsi="Arial" w:cs="Arial"/>
          <w:b/>
          <w:color w:val="002060"/>
          <w:sz w:val="22"/>
          <w:szCs w:val="22"/>
        </w:rPr>
        <w:tab/>
      </w:r>
    </w:p>
    <w:p w14:paraId="57BDEC9F" w14:textId="477FD2BE"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 xml:space="preserve">DEPARTMENT/DIRECTORATE: </w:t>
      </w:r>
      <w:r w:rsidRPr="00391ABF">
        <w:rPr>
          <w:rFonts w:ascii="Arial" w:hAnsi="Arial" w:cs="Arial"/>
          <w:b/>
          <w:color w:val="002060"/>
          <w:sz w:val="22"/>
          <w:szCs w:val="22"/>
        </w:rPr>
        <w:tab/>
      </w:r>
      <w:r w:rsidR="00481382">
        <w:rPr>
          <w:rFonts w:ascii="Arial" w:hAnsi="Arial" w:cs="Arial"/>
          <w:b/>
          <w:color w:val="002060"/>
          <w:sz w:val="22"/>
          <w:szCs w:val="22"/>
        </w:rPr>
        <w:tab/>
      </w:r>
      <w:r w:rsidRPr="00391ABF">
        <w:rPr>
          <w:rFonts w:ascii="Arial" w:hAnsi="Arial" w:cs="Arial"/>
          <w:b/>
          <w:color w:val="002060"/>
          <w:sz w:val="22"/>
          <w:szCs w:val="22"/>
        </w:rPr>
        <w:t>Pathology, Diagnostics</w:t>
      </w:r>
      <w:r w:rsidRPr="00391ABF">
        <w:rPr>
          <w:rFonts w:ascii="Arial" w:hAnsi="Arial" w:cs="Arial"/>
          <w:b/>
          <w:color w:val="002060"/>
          <w:sz w:val="22"/>
          <w:szCs w:val="22"/>
        </w:rPr>
        <w:tab/>
      </w:r>
    </w:p>
    <w:p w14:paraId="2C2B77EA"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DIVISION:</w:t>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t>Acute</w:t>
      </w:r>
    </w:p>
    <w:p w14:paraId="1AA41D62"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LOCATION:</w:t>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r>
      <w:r w:rsidRPr="00391ABF">
        <w:rPr>
          <w:rFonts w:ascii="Arial" w:hAnsi="Arial" w:cs="Arial"/>
          <w:b/>
          <w:color w:val="002060"/>
          <w:sz w:val="22"/>
          <w:szCs w:val="22"/>
        </w:rPr>
        <w:tab/>
        <w:t>Queen Elizabeth University Hospital</w:t>
      </w:r>
      <w:r w:rsidRPr="00391ABF">
        <w:rPr>
          <w:rFonts w:ascii="Arial" w:hAnsi="Arial" w:cs="Arial"/>
          <w:b/>
          <w:color w:val="002060"/>
          <w:sz w:val="22"/>
          <w:szCs w:val="22"/>
        </w:rPr>
        <w:tab/>
      </w:r>
    </w:p>
    <w:p w14:paraId="2507F61F"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color w:val="002060"/>
          <w:sz w:val="22"/>
          <w:szCs w:val="22"/>
        </w:rPr>
        <w:t xml:space="preserve">  </w:t>
      </w:r>
    </w:p>
    <w:tbl>
      <w:tblPr>
        <w:tblW w:w="964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8"/>
        <w:gridCol w:w="1701"/>
        <w:gridCol w:w="1701"/>
      </w:tblGrid>
      <w:tr w:rsidR="00391ABF" w:rsidRPr="00391ABF" w14:paraId="7078D279"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shd w:val="pct30" w:color="auto" w:fill="auto"/>
          </w:tcPr>
          <w:p w14:paraId="3D79BB9C"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CRITERIA</w:t>
            </w:r>
          </w:p>
        </w:tc>
        <w:tc>
          <w:tcPr>
            <w:tcW w:w="1701" w:type="dxa"/>
            <w:tcBorders>
              <w:top w:val="single" w:sz="6" w:space="0" w:color="auto"/>
              <w:left w:val="single" w:sz="6" w:space="0" w:color="auto"/>
              <w:bottom w:val="single" w:sz="6" w:space="0" w:color="auto"/>
              <w:right w:val="single" w:sz="6" w:space="0" w:color="auto"/>
            </w:tcBorders>
            <w:shd w:val="pct30" w:color="auto" w:fill="auto"/>
          </w:tcPr>
          <w:p w14:paraId="021F19EE"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ESSENTIAL</w:t>
            </w:r>
          </w:p>
        </w:tc>
        <w:tc>
          <w:tcPr>
            <w:tcW w:w="1701" w:type="dxa"/>
            <w:tcBorders>
              <w:top w:val="single" w:sz="6" w:space="0" w:color="auto"/>
              <w:left w:val="single" w:sz="6" w:space="0" w:color="auto"/>
              <w:bottom w:val="single" w:sz="6" w:space="0" w:color="auto"/>
              <w:right w:val="single" w:sz="6" w:space="0" w:color="auto"/>
            </w:tcBorders>
            <w:shd w:val="pct30" w:color="auto" w:fill="auto"/>
          </w:tcPr>
          <w:p w14:paraId="7E327328"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DESIRABLE</w:t>
            </w:r>
          </w:p>
        </w:tc>
      </w:tr>
      <w:tr w:rsidR="00391ABF" w:rsidRPr="00391ABF" w14:paraId="0995FE0E"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662F4FFC" w14:textId="77777777" w:rsidR="00391ABF" w:rsidRPr="00391ABF" w:rsidRDefault="00391ABF" w:rsidP="00391ABF">
            <w:pPr>
              <w:spacing w:line="360" w:lineRule="auto"/>
              <w:rPr>
                <w:rFonts w:ascii="Arial" w:hAnsi="Arial" w:cs="Arial"/>
                <w:b/>
                <w:bCs/>
                <w:color w:val="002060"/>
                <w:sz w:val="22"/>
                <w:szCs w:val="22"/>
              </w:rPr>
            </w:pPr>
            <w:r w:rsidRPr="00391ABF">
              <w:rPr>
                <w:rFonts w:ascii="Arial" w:hAnsi="Arial" w:cs="Arial"/>
                <w:b/>
                <w:bCs/>
                <w:color w:val="002060"/>
                <w:sz w:val="22"/>
                <w:szCs w:val="22"/>
              </w:rPr>
              <w:t>Eligible for full registration with the General Medical Council</w:t>
            </w:r>
          </w:p>
        </w:tc>
        <w:tc>
          <w:tcPr>
            <w:tcW w:w="1701" w:type="dxa"/>
            <w:tcBorders>
              <w:top w:val="single" w:sz="6" w:space="0" w:color="auto"/>
              <w:left w:val="single" w:sz="6" w:space="0" w:color="auto"/>
              <w:bottom w:val="single" w:sz="6" w:space="0" w:color="auto"/>
              <w:right w:val="single" w:sz="6" w:space="0" w:color="auto"/>
            </w:tcBorders>
          </w:tcPr>
          <w:p w14:paraId="401C6345" w14:textId="77777777" w:rsidR="00391ABF" w:rsidRPr="00391ABF" w:rsidRDefault="00391ABF" w:rsidP="00391ABF">
            <w:pPr>
              <w:pStyle w:val="Heading2"/>
              <w:spacing w:line="360" w:lineRule="auto"/>
              <w:rPr>
                <w:i/>
                <w:color w:val="002060"/>
              </w:rPr>
            </w:pPr>
            <w:r w:rsidRPr="00391ABF">
              <w:rPr>
                <w:i/>
                <w:color w:val="002060"/>
              </w:rPr>
              <w:t>YES</w:t>
            </w:r>
          </w:p>
        </w:tc>
        <w:tc>
          <w:tcPr>
            <w:tcW w:w="1701" w:type="dxa"/>
            <w:tcBorders>
              <w:top w:val="single" w:sz="6" w:space="0" w:color="auto"/>
              <w:left w:val="single" w:sz="6" w:space="0" w:color="auto"/>
              <w:bottom w:val="single" w:sz="6" w:space="0" w:color="auto"/>
              <w:right w:val="single" w:sz="6" w:space="0" w:color="auto"/>
            </w:tcBorders>
          </w:tcPr>
          <w:p w14:paraId="1C19170D" w14:textId="77777777" w:rsidR="00391ABF" w:rsidRPr="00391ABF" w:rsidRDefault="00391ABF" w:rsidP="00391ABF">
            <w:pPr>
              <w:pStyle w:val="Header"/>
              <w:tabs>
                <w:tab w:val="clear" w:pos="4153"/>
                <w:tab w:val="clear" w:pos="8306"/>
              </w:tabs>
              <w:spacing w:line="360" w:lineRule="auto"/>
              <w:rPr>
                <w:rFonts w:ascii="Arial" w:hAnsi="Arial" w:cs="Arial"/>
                <w:color w:val="002060"/>
              </w:rPr>
            </w:pPr>
          </w:p>
        </w:tc>
      </w:tr>
      <w:tr w:rsidR="00391ABF" w:rsidRPr="00391ABF" w14:paraId="48FF8B26"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5A4018A1" w14:textId="77777777" w:rsidR="00391ABF" w:rsidRPr="00391ABF" w:rsidRDefault="00391ABF" w:rsidP="00391ABF">
            <w:pPr>
              <w:spacing w:line="360" w:lineRule="auto"/>
              <w:rPr>
                <w:rFonts w:ascii="Arial" w:hAnsi="Arial" w:cs="Arial"/>
                <w:b/>
                <w:color w:val="002060"/>
                <w:sz w:val="22"/>
                <w:szCs w:val="22"/>
              </w:rPr>
            </w:pPr>
            <w:proofErr w:type="spellStart"/>
            <w:r w:rsidRPr="00391ABF">
              <w:rPr>
                <w:rFonts w:ascii="Arial" w:hAnsi="Arial" w:cs="Arial"/>
                <w:b/>
                <w:color w:val="002060"/>
                <w:sz w:val="22"/>
                <w:szCs w:val="22"/>
              </w:rPr>
              <w:t>MRCPath</w:t>
            </w:r>
            <w:proofErr w:type="spellEnd"/>
            <w:r w:rsidRPr="00391ABF">
              <w:rPr>
                <w:rFonts w:ascii="Arial" w:hAnsi="Arial" w:cs="Arial"/>
                <w:b/>
                <w:color w:val="002060"/>
                <w:sz w:val="22"/>
                <w:szCs w:val="22"/>
              </w:rPr>
              <w:t>/</w:t>
            </w:r>
            <w:proofErr w:type="spellStart"/>
            <w:r w:rsidRPr="00391ABF">
              <w:rPr>
                <w:rFonts w:ascii="Arial" w:hAnsi="Arial" w:cs="Arial"/>
                <w:b/>
                <w:color w:val="002060"/>
                <w:sz w:val="22"/>
                <w:szCs w:val="22"/>
              </w:rPr>
              <w:t>FRCPath</w:t>
            </w:r>
            <w:proofErr w:type="spellEnd"/>
            <w:r w:rsidRPr="00391ABF">
              <w:rPr>
                <w:rFonts w:ascii="Arial" w:hAnsi="Arial" w:cs="Arial"/>
                <w:b/>
                <w:color w:val="002060"/>
                <w:sz w:val="22"/>
                <w:szCs w:val="22"/>
              </w:rPr>
              <w:t xml:space="preserve"> or equivalent</w:t>
            </w:r>
          </w:p>
          <w:p w14:paraId="67FDC582" w14:textId="77777777" w:rsidR="00391ABF" w:rsidRPr="00391ABF" w:rsidRDefault="00391ABF" w:rsidP="00391ABF">
            <w:pPr>
              <w:spacing w:line="360" w:lineRule="auto"/>
              <w:rPr>
                <w:rFonts w:ascii="Arial" w:hAnsi="Arial" w:cs="Arial"/>
                <w:b/>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D8EF115"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3FC378D6" w14:textId="77777777" w:rsidR="00391ABF" w:rsidRPr="00391ABF" w:rsidRDefault="00391ABF" w:rsidP="00391ABF">
            <w:pPr>
              <w:spacing w:line="360" w:lineRule="auto"/>
              <w:rPr>
                <w:rFonts w:ascii="Arial" w:hAnsi="Arial" w:cs="Arial"/>
                <w:color w:val="002060"/>
                <w:sz w:val="22"/>
                <w:szCs w:val="22"/>
              </w:rPr>
            </w:pPr>
          </w:p>
        </w:tc>
      </w:tr>
      <w:tr w:rsidR="00391ABF" w:rsidRPr="00391ABF" w14:paraId="5974A69C"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0E8A0FBE"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 xml:space="preserve">On GMC </w:t>
            </w:r>
            <w:proofErr w:type="spellStart"/>
            <w:r w:rsidRPr="00391ABF">
              <w:rPr>
                <w:rFonts w:ascii="Arial" w:hAnsi="Arial" w:cs="Arial"/>
                <w:b/>
                <w:color w:val="002060"/>
                <w:sz w:val="22"/>
                <w:szCs w:val="22"/>
              </w:rPr>
              <w:t>Spcialist</w:t>
            </w:r>
            <w:proofErr w:type="spellEnd"/>
            <w:r w:rsidRPr="00391ABF">
              <w:rPr>
                <w:rFonts w:ascii="Arial" w:hAnsi="Arial" w:cs="Arial"/>
                <w:b/>
                <w:color w:val="002060"/>
                <w:sz w:val="22"/>
                <w:szCs w:val="22"/>
              </w:rPr>
              <w:t xml:space="preserve"> Register for Consultant or eligible for admission to the register within 6 months of the date of interview.</w:t>
            </w:r>
          </w:p>
        </w:tc>
        <w:tc>
          <w:tcPr>
            <w:tcW w:w="1701" w:type="dxa"/>
            <w:tcBorders>
              <w:top w:val="single" w:sz="6" w:space="0" w:color="auto"/>
              <w:left w:val="single" w:sz="6" w:space="0" w:color="auto"/>
              <w:bottom w:val="single" w:sz="6" w:space="0" w:color="auto"/>
              <w:right w:val="single" w:sz="6" w:space="0" w:color="auto"/>
            </w:tcBorders>
          </w:tcPr>
          <w:p w14:paraId="618AA4D1"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1EE1D9FE" w14:textId="77777777" w:rsidR="00391ABF" w:rsidRPr="00391ABF" w:rsidRDefault="00391ABF" w:rsidP="00391ABF">
            <w:pPr>
              <w:spacing w:line="360" w:lineRule="auto"/>
              <w:rPr>
                <w:rFonts w:ascii="Arial" w:hAnsi="Arial" w:cs="Arial"/>
                <w:color w:val="002060"/>
                <w:sz w:val="22"/>
                <w:szCs w:val="22"/>
              </w:rPr>
            </w:pPr>
          </w:p>
        </w:tc>
      </w:tr>
      <w:tr w:rsidR="00391ABF" w:rsidRPr="00391ABF" w14:paraId="0F6D8C61"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6B28977F"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 xml:space="preserve">Good general medical training </w:t>
            </w:r>
          </w:p>
          <w:p w14:paraId="0F48C166" w14:textId="77777777" w:rsidR="00391ABF" w:rsidRPr="00391ABF" w:rsidRDefault="00391ABF" w:rsidP="00391ABF">
            <w:pPr>
              <w:spacing w:line="360" w:lineRule="auto"/>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5302D02"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543BA674" w14:textId="77777777" w:rsidR="00391ABF" w:rsidRPr="00391ABF" w:rsidRDefault="00391ABF" w:rsidP="00391ABF">
            <w:pPr>
              <w:spacing w:line="360" w:lineRule="auto"/>
              <w:rPr>
                <w:rFonts w:ascii="Arial" w:hAnsi="Arial" w:cs="Arial"/>
                <w:color w:val="002060"/>
                <w:sz w:val="22"/>
                <w:szCs w:val="22"/>
              </w:rPr>
            </w:pPr>
          </w:p>
        </w:tc>
      </w:tr>
      <w:tr w:rsidR="00391ABF" w:rsidRPr="00391ABF" w14:paraId="15C4AD25"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78AF2FB7"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Experience of multidisciplinary team working</w:t>
            </w:r>
          </w:p>
          <w:p w14:paraId="73C66E72" w14:textId="77777777" w:rsidR="00391ABF" w:rsidRPr="00391ABF" w:rsidRDefault="00391ABF" w:rsidP="00391ABF">
            <w:pPr>
              <w:spacing w:line="360" w:lineRule="auto"/>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1E880C11"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6443BD5E" w14:textId="77777777" w:rsidR="00391ABF" w:rsidRPr="00391ABF" w:rsidRDefault="00391ABF" w:rsidP="00391ABF">
            <w:pPr>
              <w:spacing w:line="360" w:lineRule="auto"/>
              <w:rPr>
                <w:rFonts w:ascii="Arial" w:hAnsi="Arial" w:cs="Arial"/>
                <w:color w:val="002060"/>
                <w:sz w:val="22"/>
                <w:szCs w:val="22"/>
              </w:rPr>
            </w:pPr>
          </w:p>
        </w:tc>
      </w:tr>
      <w:tr w:rsidR="00391ABF" w:rsidRPr="00391ABF" w14:paraId="3121B110"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353330CB"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Experience of audit and research</w:t>
            </w:r>
          </w:p>
          <w:p w14:paraId="07E3B91C" w14:textId="77777777" w:rsidR="00391ABF" w:rsidRPr="00391ABF" w:rsidRDefault="00391ABF" w:rsidP="00391ABF">
            <w:pPr>
              <w:spacing w:line="360" w:lineRule="auto"/>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6412716" w14:textId="77777777" w:rsidR="00391ABF" w:rsidRPr="00391ABF" w:rsidRDefault="00391ABF" w:rsidP="00391ABF">
            <w:pPr>
              <w:spacing w:line="360" w:lineRule="auto"/>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C854E82" w14:textId="77777777" w:rsidR="00391ABF" w:rsidRPr="00391ABF" w:rsidRDefault="00391ABF" w:rsidP="00391ABF">
            <w:pPr>
              <w:spacing w:line="360" w:lineRule="auto"/>
              <w:rPr>
                <w:rFonts w:ascii="Arial" w:hAnsi="Arial" w:cs="Arial"/>
                <w:b/>
                <w:bCs/>
                <w:color w:val="002060"/>
                <w:sz w:val="22"/>
                <w:szCs w:val="22"/>
              </w:rPr>
            </w:pPr>
            <w:r w:rsidRPr="00391ABF">
              <w:rPr>
                <w:rFonts w:ascii="Arial" w:hAnsi="Arial" w:cs="Arial"/>
                <w:b/>
                <w:bCs/>
                <w:color w:val="002060"/>
                <w:sz w:val="22"/>
                <w:szCs w:val="22"/>
              </w:rPr>
              <w:t>YES</w:t>
            </w:r>
          </w:p>
        </w:tc>
      </w:tr>
      <w:tr w:rsidR="00391ABF" w:rsidRPr="00391ABF" w14:paraId="5D8AFBF7"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74927280"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Excellent organisational and communication skills</w:t>
            </w:r>
            <w:r w:rsidRPr="00391ABF">
              <w:rPr>
                <w:rFonts w:ascii="Arial" w:hAnsi="Arial" w:cs="Arial"/>
                <w:b/>
                <w:color w:val="002060"/>
                <w:sz w:val="22"/>
                <w:szCs w:val="22"/>
              </w:rPr>
              <w:tab/>
            </w:r>
          </w:p>
        </w:tc>
        <w:tc>
          <w:tcPr>
            <w:tcW w:w="1701" w:type="dxa"/>
            <w:tcBorders>
              <w:top w:val="single" w:sz="6" w:space="0" w:color="auto"/>
              <w:left w:val="single" w:sz="6" w:space="0" w:color="auto"/>
              <w:bottom w:val="single" w:sz="6" w:space="0" w:color="auto"/>
              <w:right w:val="single" w:sz="6" w:space="0" w:color="auto"/>
            </w:tcBorders>
          </w:tcPr>
          <w:p w14:paraId="313F817A"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6C56EB3A" w14:textId="77777777" w:rsidR="00391ABF" w:rsidRPr="00391ABF" w:rsidRDefault="00391ABF" w:rsidP="00391ABF">
            <w:pPr>
              <w:spacing w:line="360" w:lineRule="auto"/>
              <w:rPr>
                <w:rFonts w:ascii="Arial" w:hAnsi="Arial" w:cs="Arial"/>
                <w:b/>
                <w:color w:val="002060"/>
                <w:sz w:val="22"/>
                <w:szCs w:val="22"/>
              </w:rPr>
            </w:pPr>
          </w:p>
        </w:tc>
      </w:tr>
      <w:tr w:rsidR="00391ABF" w:rsidRPr="00391ABF" w14:paraId="29E4C4DA"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37F12226" w14:textId="77777777" w:rsidR="00391ABF" w:rsidRPr="00391ABF" w:rsidRDefault="00391ABF" w:rsidP="00391ABF">
            <w:pPr>
              <w:spacing w:line="360" w:lineRule="auto"/>
              <w:rPr>
                <w:rFonts w:ascii="Arial" w:hAnsi="Arial" w:cs="Arial"/>
                <w:bCs/>
                <w:color w:val="002060"/>
                <w:sz w:val="22"/>
                <w:szCs w:val="22"/>
              </w:rPr>
            </w:pPr>
            <w:r w:rsidRPr="00391ABF">
              <w:rPr>
                <w:rFonts w:ascii="Arial" w:hAnsi="Arial" w:cs="Arial"/>
                <w:b/>
                <w:bCs/>
                <w:color w:val="002060"/>
                <w:sz w:val="22"/>
                <w:szCs w:val="22"/>
              </w:rPr>
              <w:t xml:space="preserve">Effective in the teaching and training of junior colleagues  </w:t>
            </w:r>
          </w:p>
        </w:tc>
        <w:tc>
          <w:tcPr>
            <w:tcW w:w="1701" w:type="dxa"/>
            <w:tcBorders>
              <w:top w:val="single" w:sz="6" w:space="0" w:color="auto"/>
              <w:left w:val="single" w:sz="6" w:space="0" w:color="auto"/>
              <w:bottom w:val="single" w:sz="6" w:space="0" w:color="auto"/>
              <w:right w:val="single" w:sz="6" w:space="0" w:color="auto"/>
            </w:tcBorders>
          </w:tcPr>
          <w:p w14:paraId="38B7E977" w14:textId="77777777" w:rsidR="00391ABF" w:rsidRPr="00391ABF" w:rsidRDefault="00391ABF" w:rsidP="00391ABF">
            <w:pPr>
              <w:spacing w:line="360" w:lineRule="auto"/>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2845606"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YES</w:t>
            </w:r>
          </w:p>
        </w:tc>
      </w:tr>
      <w:tr w:rsidR="00391ABF" w:rsidRPr="00391ABF" w14:paraId="69079044"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48609A2B" w14:textId="77777777" w:rsidR="00391ABF" w:rsidRPr="00391ABF" w:rsidRDefault="00391ABF" w:rsidP="00391ABF">
            <w:pPr>
              <w:spacing w:line="360" w:lineRule="auto"/>
              <w:rPr>
                <w:rFonts w:ascii="Arial" w:hAnsi="Arial" w:cs="Arial"/>
                <w:b/>
                <w:bCs/>
                <w:color w:val="002060"/>
                <w:sz w:val="22"/>
                <w:szCs w:val="22"/>
              </w:rPr>
            </w:pPr>
            <w:r w:rsidRPr="00391ABF">
              <w:rPr>
                <w:rFonts w:ascii="Arial" w:hAnsi="Arial" w:cs="Arial"/>
                <w:b/>
                <w:bCs/>
                <w:color w:val="002060"/>
                <w:sz w:val="22"/>
                <w:szCs w:val="22"/>
              </w:rPr>
              <w:t>Knowledge of general management issues</w:t>
            </w:r>
          </w:p>
          <w:p w14:paraId="3D072C3A" w14:textId="77777777" w:rsidR="00391ABF" w:rsidRPr="00391ABF" w:rsidRDefault="00391ABF" w:rsidP="00391ABF">
            <w:pPr>
              <w:spacing w:line="360" w:lineRule="auto"/>
              <w:rPr>
                <w:rFonts w:ascii="Arial" w:hAnsi="Arial" w:cs="Arial"/>
                <w:bCs/>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7388748" w14:textId="77777777" w:rsidR="00391ABF" w:rsidRPr="00391ABF" w:rsidRDefault="00391ABF" w:rsidP="00391ABF">
            <w:pPr>
              <w:spacing w:line="360" w:lineRule="auto"/>
              <w:rPr>
                <w:rFonts w:ascii="Arial" w:hAnsi="Arial" w:cs="Arial"/>
                <w:color w:val="002060"/>
                <w:sz w:val="22"/>
                <w:szCs w:val="22"/>
              </w:rPr>
            </w:pPr>
            <w:r w:rsidRPr="00391ABF">
              <w:rPr>
                <w:rFonts w:ascii="Arial" w:hAnsi="Arial" w:cs="Arial"/>
                <w:b/>
                <w:bCs/>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2EAAC9AC" w14:textId="77777777" w:rsidR="00391ABF" w:rsidRPr="00391ABF" w:rsidRDefault="00391ABF" w:rsidP="00391ABF">
            <w:pPr>
              <w:spacing w:line="360" w:lineRule="auto"/>
              <w:rPr>
                <w:rFonts w:ascii="Arial" w:hAnsi="Arial" w:cs="Arial"/>
                <w:bCs/>
                <w:color w:val="002060"/>
                <w:sz w:val="22"/>
                <w:szCs w:val="22"/>
              </w:rPr>
            </w:pPr>
          </w:p>
        </w:tc>
      </w:tr>
      <w:tr w:rsidR="00391ABF" w:rsidRPr="00391ABF" w14:paraId="30038623" w14:textId="77777777" w:rsidTr="00391ABF">
        <w:tblPrEx>
          <w:tblCellMar>
            <w:top w:w="0" w:type="dxa"/>
            <w:bottom w:w="0" w:type="dxa"/>
          </w:tblCellMar>
        </w:tblPrEx>
        <w:tc>
          <w:tcPr>
            <w:tcW w:w="6238" w:type="dxa"/>
            <w:tcBorders>
              <w:top w:val="single" w:sz="6" w:space="0" w:color="auto"/>
              <w:left w:val="single" w:sz="6" w:space="0" w:color="auto"/>
              <w:bottom w:val="single" w:sz="6" w:space="0" w:color="auto"/>
              <w:right w:val="single" w:sz="6" w:space="0" w:color="auto"/>
            </w:tcBorders>
          </w:tcPr>
          <w:p w14:paraId="6236772A" w14:textId="77777777" w:rsidR="00391ABF" w:rsidRPr="00391ABF" w:rsidRDefault="00391ABF" w:rsidP="00391ABF">
            <w:pPr>
              <w:spacing w:line="360" w:lineRule="auto"/>
              <w:rPr>
                <w:rFonts w:ascii="Arial" w:hAnsi="Arial" w:cs="Arial"/>
                <w:b/>
                <w:bCs/>
                <w:color w:val="002060"/>
                <w:sz w:val="22"/>
                <w:szCs w:val="22"/>
              </w:rPr>
            </w:pPr>
            <w:r w:rsidRPr="00391ABF">
              <w:rPr>
                <w:rFonts w:ascii="Arial" w:hAnsi="Arial" w:cs="Arial"/>
                <w:b/>
                <w:bCs/>
                <w:color w:val="002060"/>
                <w:sz w:val="22"/>
                <w:szCs w:val="22"/>
              </w:rPr>
              <w:t>Proven team player</w:t>
            </w:r>
          </w:p>
          <w:p w14:paraId="5E8666C4" w14:textId="77777777" w:rsidR="00391ABF" w:rsidRPr="00391ABF" w:rsidRDefault="00391ABF" w:rsidP="00391ABF">
            <w:pPr>
              <w:spacing w:line="360" w:lineRule="auto"/>
              <w:rPr>
                <w:rFonts w:ascii="Arial" w:hAnsi="Arial" w:cs="Arial"/>
                <w:b/>
                <w:bCs/>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521453E" w14:textId="77777777" w:rsidR="00391ABF" w:rsidRPr="00391ABF" w:rsidRDefault="00391ABF" w:rsidP="00391ABF">
            <w:pPr>
              <w:spacing w:line="360" w:lineRule="auto"/>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86A45C6" w14:textId="77777777" w:rsidR="00391ABF" w:rsidRPr="00391ABF" w:rsidRDefault="00391ABF" w:rsidP="00391ABF">
            <w:pPr>
              <w:spacing w:line="360" w:lineRule="auto"/>
              <w:rPr>
                <w:rFonts w:ascii="Arial" w:hAnsi="Arial" w:cs="Arial"/>
                <w:b/>
                <w:color w:val="002060"/>
                <w:sz w:val="22"/>
                <w:szCs w:val="22"/>
              </w:rPr>
            </w:pPr>
            <w:r w:rsidRPr="00391ABF">
              <w:rPr>
                <w:rFonts w:ascii="Arial" w:hAnsi="Arial" w:cs="Arial"/>
                <w:b/>
                <w:color w:val="002060"/>
                <w:sz w:val="22"/>
                <w:szCs w:val="22"/>
              </w:rPr>
              <w:t>YES</w:t>
            </w:r>
          </w:p>
        </w:tc>
      </w:tr>
    </w:tbl>
    <w:p w14:paraId="527907E5" w14:textId="77777777" w:rsidR="008502BD" w:rsidRPr="008A52ED" w:rsidRDefault="008502BD" w:rsidP="00067415">
      <w:pPr>
        <w:rPr>
          <w:rFonts w:ascii="Arial" w:hAnsi="Arial" w:cs="Arial"/>
          <w:b/>
          <w:bCs/>
          <w:color w:val="002060"/>
        </w:rPr>
      </w:pPr>
    </w:p>
    <w:p w14:paraId="55397C6A" w14:textId="77777777" w:rsidR="00391ABF" w:rsidRDefault="00391ABF" w:rsidP="00791C81">
      <w:pPr>
        <w:pStyle w:val="BodyText"/>
        <w:ind w:right="-6"/>
        <w:jc w:val="both"/>
        <w:rPr>
          <w:rFonts w:ascii="Arial" w:hAnsi="Arial" w:cs="Arial"/>
          <w:b/>
          <w:bCs/>
          <w:color w:val="002060"/>
          <w:sz w:val="24"/>
          <w:szCs w:val="24"/>
        </w:rPr>
      </w:pPr>
    </w:p>
    <w:p w14:paraId="1966BF95" w14:textId="77777777" w:rsidR="00391ABF" w:rsidRDefault="00391ABF" w:rsidP="00791C81">
      <w:pPr>
        <w:pStyle w:val="BodyText"/>
        <w:ind w:right="-6"/>
        <w:jc w:val="both"/>
        <w:rPr>
          <w:rFonts w:ascii="Arial" w:hAnsi="Arial" w:cs="Arial"/>
          <w:b/>
          <w:bCs/>
          <w:color w:val="002060"/>
          <w:sz w:val="24"/>
          <w:szCs w:val="24"/>
        </w:rPr>
      </w:pPr>
    </w:p>
    <w:p w14:paraId="15D07F23" w14:textId="77777777" w:rsidR="00391ABF" w:rsidRDefault="00391ABF" w:rsidP="00791C81">
      <w:pPr>
        <w:pStyle w:val="BodyText"/>
        <w:ind w:right="-6"/>
        <w:jc w:val="both"/>
        <w:rPr>
          <w:rFonts w:ascii="Arial" w:hAnsi="Arial" w:cs="Arial"/>
          <w:b/>
          <w:bCs/>
          <w:color w:val="002060"/>
          <w:sz w:val="24"/>
          <w:szCs w:val="24"/>
        </w:rPr>
      </w:pPr>
    </w:p>
    <w:p w14:paraId="7AAA2A8B" w14:textId="77777777" w:rsidR="00391ABF" w:rsidRDefault="00391ABF" w:rsidP="00791C81">
      <w:pPr>
        <w:pStyle w:val="BodyText"/>
        <w:ind w:right="-6"/>
        <w:jc w:val="both"/>
        <w:rPr>
          <w:rFonts w:ascii="Arial" w:hAnsi="Arial" w:cs="Arial"/>
          <w:b/>
          <w:bCs/>
          <w:color w:val="002060"/>
          <w:sz w:val="24"/>
          <w:szCs w:val="24"/>
        </w:rPr>
      </w:pPr>
    </w:p>
    <w:p w14:paraId="6D2F059D" w14:textId="77777777" w:rsidR="00391ABF" w:rsidRDefault="00391ABF" w:rsidP="00791C81">
      <w:pPr>
        <w:pStyle w:val="BodyText"/>
        <w:ind w:right="-6"/>
        <w:jc w:val="both"/>
        <w:rPr>
          <w:rFonts w:ascii="Arial" w:hAnsi="Arial" w:cs="Arial"/>
          <w:b/>
          <w:bCs/>
          <w:color w:val="002060"/>
          <w:sz w:val="24"/>
          <w:szCs w:val="24"/>
        </w:rPr>
      </w:pPr>
    </w:p>
    <w:p w14:paraId="3FF74043" w14:textId="77777777" w:rsidR="00391ABF" w:rsidRDefault="00391ABF" w:rsidP="00791C81">
      <w:pPr>
        <w:pStyle w:val="BodyText"/>
        <w:ind w:right="-6"/>
        <w:jc w:val="both"/>
        <w:rPr>
          <w:rFonts w:ascii="Arial" w:hAnsi="Arial" w:cs="Arial"/>
          <w:b/>
          <w:bCs/>
          <w:color w:val="002060"/>
          <w:sz w:val="24"/>
          <w:szCs w:val="24"/>
        </w:rPr>
      </w:pPr>
    </w:p>
    <w:p w14:paraId="0B69174B" w14:textId="77777777" w:rsidR="00391ABF" w:rsidRDefault="00391ABF" w:rsidP="00791C81">
      <w:pPr>
        <w:pStyle w:val="BodyText"/>
        <w:ind w:right="-6"/>
        <w:jc w:val="both"/>
        <w:rPr>
          <w:rFonts w:ascii="Arial" w:hAnsi="Arial" w:cs="Arial"/>
          <w:b/>
          <w:bCs/>
          <w:color w:val="002060"/>
          <w:sz w:val="24"/>
          <w:szCs w:val="24"/>
        </w:rPr>
      </w:pPr>
    </w:p>
    <w:p w14:paraId="59AF60A0" w14:textId="77777777" w:rsidR="00391ABF" w:rsidRDefault="00391ABF" w:rsidP="00791C81">
      <w:pPr>
        <w:pStyle w:val="BodyText"/>
        <w:ind w:right="-6"/>
        <w:jc w:val="both"/>
        <w:rPr>
          <w:rFonts w:ascii="Arial" w:hAnsi="Arial" w:cs="Arial"/>
          <w:b/>
          <w:bCs/>
          <w:color w:val="002060"/>
          <w:sz w:val="24"/>
          <w:szCs w:val="24"/>
        </w:rPr>
      </w:pPr>
    </w:p>
    <w:p w14:paraId="381AC5CC" w14:textId="77777777" w:rsidR="00391ABF" w:rsidRDefault="00391ABF" w:rsidP="00791C81">
      <w:pPr>
        <w:pStyle w:val="BodyText"/>
        <w:ind w:right="-6"/>
        <w:jc w:val="both"/>
        <w:rPr>
          <w:rFonts w:ascii="Arial" w:hAnsi="Arial" w:cs="Arial"/>
          <w:b/>
          <w:bCs/>
          <w:color w:val="002060"/>
          <w:sz w:val="24"/>
          <w:szCs w:val="24"/>
        </w:rPr>
      </w:pPr>
    </w:p>
    <w:p w14:paraId="7622FD9F" w14:textId="77777777" w:rsidR="00391ABF" w:rsidRDefault="00391ABF" w:rsidP="00791C81">
      <w:pPr>
        <w:pStyle w:val="BodyText"/>
        <w:ind w:right="-6"/>
        <w:jc w:val="both"/>
        <w:rPr>
          <w:rFonts w:ascii="Arial" w:hAnsi="Arial" w:cs="Arial"/>
          <w:b/>
          <w:bCs/>
          <w:color w:val="002060"/>
          <w:sz w:val="24"/>
          <w:szCs w:val="24"/>
        </w:rPr>
      </w:pPr>
    </w:p>
    <w:p w14:paraId="3768A6C9" w14:textId="77777777" w:rsidR="00391ABF" w:rsidRDefault="00391ABF" w:rsidP="00791C81">
      <w:pPr>
        <w:pStyle w:val="BodyText"/>
        <w:ind w:right="-6"/>
        <w:jc w:val="both"/>
        <w:rPr>
          <w:rFonts w:ascii="Arial" w:hAnsi="Arial" w:cs="Arial"/>
          <w:b/>
          <w:bCs/>
          <w:color w:val="002060"/>
          <w:sz w:val="24"/>
          <w:szCs w:val="24"/>
        </w:rPr>
      </w:pPr>
    </w:p>
    <w:p w14:paraId="44D347C2" w14:textId="77777777" w:rsidR="00391ABF" w:rsidRDefault="00391ABF" w:rsidP="00791C81">
      <w:pPr>
        <w:pStyle w:val="BodyText"/>
        <w:ind w:right="-6"/>
        <w:jc w:val="both"/>
        <w:rPr>
          <w:rFonts w:ascii="Arial" w:hAnsi="Arial" w:cs="Arial"/>
          <w:b/>
          <w:bCs/>
          <w:color w:val="002060"/>
          <w:sz w:val="24"/>
          <w:szCs w:val="24"/>
        </w:rPr>
      </w:pPr>
    </w:p>
    <w:p w14:paraId="7874B60A" w14:textId="77777777" w:rsidR="00391ABF" w:rsidRDefault="00391ABF" w:rsidP="00791C81">
      <w:pPr>
        <w:pStyle w:val="BodyText"/>
        <w:ind w:right="-6"/>
        <w:jc w:val="both"/>
        <w:rPr>
          <w:rFonts w:ascii="Arial" w:hAnsi="Arial" w:cs="Arial"/>
          <w:b/>
          <w:bCs/>
          <w:color w:val="002060"/>
          <w:sz w:val="24"/>
          <w:szCs w:val="24"/>
        </w:rPr>
      </w:pPr>
    </w:p>
    <w:p w14:paraId="3078924C" w14:textId="77777777" w:rsidR="00391ABF" w:rsidRDefault="00391ABF" w:rsidP="00791C81">
      <w:pPr>
        <w:pStyle w:val="BodyText"/>
        <w:ind w:right="-6"/>
        <w:jc w:val="both"/>
        <w:rPr>
          <w:rFonts w:ascii="Arial" w:hAnsi="Arial" w:cs="Arial"/>
          <w:b/>
          <w:bCs/>
          <w:color w:val="002060"/>
          <w:sz w:val="24"/>
          <w:szCs w:val="24"/>
        </w:rPr>
      </w:pPr>
    </w:p>
    <w:p w14:paraId="1C914068" w14:textId="77777777" w:rsidR="00391ABF" w:rsidRDefault="00391ABF" w:rsidP="00791C81">
      <w:pPr>
        <w:pStyle w:val="BodyText"/>
        <w:ind w:right="-6"/>
        <w:jc w:val="both"/>
        <w:rPr>
          <w:rFonts w:ascii="Arial" w:hAnsi="Arial" w:cs="Arial"/>
          <w:b/>
          <w:bCs/>
          <w:color w:val="002060"/>
          <w:sz w:val="24"/>
          <w:szCs w:val="24"/>
        </w:rPr>
      </w:pPr>
    </w:p>
    <w:p w14:paraId="0B60A49C" w14:textId="77777777" w:rsidR="00391ABF" w:rsidRDefault="00391ABF" w:rsidP="00791C81">
      <w:pPr>
        <w:pStyle w:val="BodyText"/>
        <w:ind w:right="-6"/>
        <w:jc w:val="both"/>
        <w:rPr>
          <w:rFonts w:ascii="Arial" w:hAnsi="Arial" w:cs="Arial"/>
          <w:b/>
          <w:bCs/>
          <w:color w:val="002060"/>
          <w:sz w:val="24"/>
          <w:szCs w:val="24"/>
        </w:rPr>
      </w:pPr>
    </w:p>
    <w:p w14:paraId="1597AB73" w14:textId="77777777" w:rsidR="00391ABF" w:rsidRDefault="00391ABF" w:rsidP="00791C81">
      <w:pPr>
        <w:pStyle w:val="BodyText"/>
        <w:ind w:right="-6"/>
        <w:jc w:val="both"/>
        <w:rPr>
          <w:rFonts w:ascii="Arial" w:hAnsi="Arial" w:cs="Arial"/>
          <w:b/>
          <w:bCs/>
          <w:color w:val="002060"/>
          <w:sz w:val="24"/>
          <w:szCs w:val="24"/>
        </w:rPr>
      </w:pPr>
    </w:p>
    <w:p w14:paraId="769905C8" w14:textId="77777777" w:rsidR="00391ABF" w:rsidRDefault="00391ABF" w:rsidP="00791C81">
      <w:pPr>
        <w:pStyle w:val="BodyText"/>
        <w:ind w:right="-6"/>
        <w:jc w:val="both"/>
        <w:rPr>
          <w:rFonts w:ascii="Arial" w:hAnsi="Arial" w:cs="Arial"/>
          <w:b/>
          <w:bCs/>
          <w:color w:val="002060"/>
          <w:sz w:val="24"/>
          <w:szCs w:val="24"/>
        </w:rPr>
      </w:pPr>
    </w:p>
    <w:p w14:paraId="677FD3E6" w14:textId="77777777" w:rsidR="00391ABF" w:rsidRDefault="00391ABF" w:rsidP="00791C81">
      <w:pPr>
        <w:pStyle w:val="BodyText"/>
        <w:ind w:right="-6"/>
        <w:jc w:val="both"/>
        <w:rPr>
          <w:rFonts w:ascii="Arial" w:hAnsi="Arial" w:cs="Arial"/>
          <w:b/>
          <w:bCs/>
          <w:color w:val="002060"/>
          <w:sz w:val="24"/>
          <w:szCs w:val="24"/>
        </w:rPr>
      </w:pPr>
    </w:p>
    <w:p w14:paraId="2DF0FD57" w14:textId="77777777" w:rsidR="00391ABF" w:rsidRDefault="00391ABF" w:rsidP="00791C81">
      <w:pPr>
        <w:pStyle w:val="BodyText"/>
        <w:ind w:right="-6"/>
        <w:jc w:val="both"/>
        <w:rPr>
          <w:rFonts w:ascii="Arial" w:hAnsi="Arial" w:cs="Arial"/>
          <w:b/>
          <w:bCs/>
          <w:color w:val="002060"/>
          <w:sz w:val="24"/>
          <w:szCs w:val="24"/>
        </w:rPr>
      </w:pPr>
    </w:p>
    <w:p w14:paraId="1133C3D5" w14:textId="77777777" w:rsidR="00391ABF" w:rsidRDefault="00391ABF" w:rsidP="00791C81">
      <w:pPr>
        <w:pStyle w:val="BodyText"/>
        <w:ind w:right="-6"/>
        <w:jc w:val="both"/>
        <w:rPr>
          <w:rFonts w:ascii="Arial" w:hAnsi="Arial" w:cs="Arial"/>
          <w:b/>
          <w:bCs/>
          <w:color w:val="002060"/>
          <w:sz w:val="24"/>
          <w:szCs w:val="24"/>
        </w:rPr>
      </w:pPr>
    </w:p>
    <w:p w14:paraId="09EC71F6" w14:textId="77777777" w:rsidR="00391ABF" w:rsidRDefault="00391ABF" w:rsidP="00791C81">
      <w:pPr>
        <w:pStyle w:val="BodyText"/>
        <w:ind w:right="-6"/>
        <w:jc w:val="both"/>
        <w:rPr>
          <w:rFonts w:ascii="Arial" w:hAnsi="Arial" w:cs="Arial"/>
          <w:b/>
          <w:bCs/>
          <w:color w:val="002060"/>
          <w:sz w:val="24"/>
          <w:szCs w:val="24"/>
        </w:rPr>
      </w:pPr>
    </w:p>
    <w:p w14:paraId="4EDCAAF4" w14:textId="77777777" w:rsidR="00391ABF" w:rsidRDefault="00391ABF" w:rsidP="00791C81">
      <w:pPr>
        <w:pStyle w:val="BodyText"/>
        <w:ind w:right="-6"/>
        <w:jc w:val="both"/>
        <w:rPr>
          <w:rFonts w:ascii="Arial" w:hAnsi="Arial" w:cs="Arial"/>
          <w:b/>
          <w:bCs/>
          <w:color w:val="002060"/>
          <w:sz w:val="24"/>
          <w:szCs w:val="24"/>
        </w:rPr>
      </w:pPr>
    </w:p>
    <w:p w14:paraId="02974283" w14:textId="77777777" w:rsidR="00391ABF" w:rsidRDefault="00391ABF" w:rsidP="00791C81">
      <w:pPr>
        <w:pStyle w:val="BodyText"/>
        <w:ind w:right="-6"/>
        <w:jc w:val="both"/>
        <w:rPr>
          <w:rFonts w:ascii="Arial" w:hAnsi="Arial" w:cs="Arial"/>
          <w:b/>
          <w:bCs/>
          <w:color w:val="002060"/>
          <w:sz w:val="24"/>
          <w:szCs w:val="24"/>
        </w:rPr>
      </w:pPr>
    </w:p>
    <w:p w14:paraId="7FDF5654" w14:textId="77777777" w:rsidR="00391ABF" w:rsidRDefault="00391ABF" w:rsidP="00791C81">
      <w:pPr>
        <w:pStyle w:val="BodyText"/>
        <w:ind w:right="-6"/>
        <w:jc w:val="both"/>
        <w:rPr>
          <w:rFonts w:ascii="Arial" w:hAnsi="Arial" w:cs="Arial"/>
          <w:b/>
          <w:bCs/>
          <w:color w:val="002060"/>
          <w:sz w:val="24"/>
          <w:szCs w:val="24"/>
        </w:rPr>
      </w:pPr>
    </w:p>
    <w:p w14:paraId="7A5A4F2D" w14:textId="34E6649F" w:rsidR="008502BD" w:rsidRDefault="00391ABF" w:rsidP="00067415">
      <w:pPr>
        <w:jc w:val="both"/>
        <w:rPr>
          <w:rFonts w:ascii="Arial" w:hAnsi="Arial" w:cs="Arial"/>
          <w:b/>
          <w:color w:val="002060"/>
          <w:sz w:val="32"/>
          <w:szCs w:val="32"/>
        </w:rPr>
      </w:pPr>
      <w:r w:rsidRPr="00391ABF">
        <w:rPr>
          <w:rFonts w:ascii="Arial" w:hAnsi="Arial" w:cs="Arial"/>
          <w:b/>
          <w:color w:val="002060"/>
          <w:sz w:val="32"/>
          <w:szCs w:val="32"/>
        </w:rPr>
        <w:t>Section 4:</w:t>
      </w:r>
    </w:p>
    <w:p w14:paraId="6975280B" w14:textId="77777777" w:rsidR="00391ABF" w:rsidRPr="00391ABF" w:rsidRDefault="00391ABF" w:rsidP="00067415">
      <w:pPr>
        <w:jc w:val="both"/>
        <w:rPr>
          <w:rFonts w:ascii="Arial" w:hAnsi="Arial" w:cs="Arial"/>
          <w:b/>
          <w:color w:val="002060"/>
          <w:sz w:val="32"/>
          <w:szCs w:val="3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391ABF"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2D4B29A9"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481382">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391ABF"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391ABF"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391ABF"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391ABF"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391ABF"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391ABF"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391ABF"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391ABF"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391ABF"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391ABF"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391ABF"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391ABF"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391ABF"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378A1621" w14:textId="77777777" w:rsidR="00481382" w:rsidRDefault="00481382" w:rsidP="00067415">
      <w:pPr>
        <w:kinsoku w:val="0"/>
        <w:overflowPunct w:val="0"/>
        <w:jc w:val="both"/>
        <w:rPr>
          <w:rFonts w:ascii="Arial" w:hAnsi="Arial" w:cs="Arial"/>
          <w:b/>
          <w:bCs/>
          <w:color w:val="002060"/>
          <w:sz w:val="32"/>
          <w:szCs w:val="32"/>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391ABF"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391ABF"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391ABF"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72ED3045"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91ABF" w:rsidRDefault="00391ABF">
      <w:r>
        <w:separator/>
      </w:r>
    </w:p>
  </w:endnote>
  <w:endnote w:type="continuationSeparator" w:id="0">
    <w:p w14:paraId="7E3FA467" w14:textId="77777777" w:rsidR="00391ABF" w:rsidRDefault="0039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91ABF" w:rsidRDefault="00391ABF"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91ABF" w:rsidRDefault="00391ABF"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91ABF" w:rsidRDefault="00391ABF"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91ABF" w:rsidRDefault="00391A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91ABF" w:rsidRDefault="00391AB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91ABF" w:rsidRPr="00067415" w:rsidRDefault="00391ABF"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91ABF" w:rsidRDefault="00391ABF">
      <w:r>
        <w:separator/>
      </w:r>
    </w:p>
  </w:footnote>
  <w:footnote w:type="continuationSeparator" w:id="0">
    <w:p w14:paraId="5645C650" w14:textId="77777777" w:rsidR="00391ABF" w:rsidRDefault="0039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91ABF" w:rsidRDefault="00391ABF">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91ABF" w:rsidRDefault="00391ABF">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91ABF" w:rsidRDefault="00391ABF">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2F00A50"/>
    <w:multiLevelType w:val="hybridMultilevel"/>
    <w:tmpl w:val="E2C08ABA"/>
    <w:lvl w:ilvl="0" w:tplc="86E8DEE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D84F82"/>
    <w:multiLevelType w:val="hybridMultilevel"/>
    <w:tmpl w:val="A7D8A488"/>
    <w:lvl w:ilvl="0" w:tplc="B34E4C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3E807297"/>
    <w:multiLevelType w:val="hybridMultilevel"/>
    <w:tmpl w:val="E1341F18"/>
    <w:lvl w:ilvl="0" w:tplc="57860C5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690C7D"/>
    <w:multiLevelType w:val="hybridMultilevel"/>
    <w:tmpl w:val="86BA2882"/>
    <w:lvl w:ilvl="0" w:tplc="EF3A1352">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9"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0" w15:restartNumberingAfterBreak="0">
    <w:nsid w:val="53BC27BD"/>
    <w:multiLevelType w:val="hybridMultilevel"/>
    <w:tmpl w:val="94BA2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5C2950F4"/>
    <w:multiLevelType w:val="hybridMultilevel"/>
    <w:tmpl w:val="B3FE960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0"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2A6EE4"/>
    <w:multiLevelType w:val="hybridMultilevel"/>
    <w:tmpl w:val="381C1AEA"/>
    <w:lvl w:ilvl="0" w:tplc="0EE01FA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4"/>
  </w:num>
  <w:num w:numId="9">
    <w:abstractNumId w:val="25"/>
  </w:num>
  <w:num w:numId="10">
    <w:abstractNumId w:val="2"/>
  </w:num>
  <w:num w:numId="11">
    <w:abstractNumId w:val="32"/>
  </w:num>
  <w:num w:numId="12">
    <w:abstractNumId w:val="27"/>
  </w:num>
  <w:num w:numId="13">
    <w:abstractNumId w:val="16"/>
  </w:num>
  <w:num w:numId="14">
    <w:abstractNumId w:val="21"/>
  </w:num>
  <w:num w:numId="15">
    <w:abstractNumId w:val="18"/>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33"/>
  </w:num>
  <w:num w:numId="21">
    <w:abstractNumId w:val="30"/>
  </w:num>
  <w:num w:numId="22">
    <w:abstractNumId w:val="28"/>
  </w:num>
  <w:num w:numId="23">
    <w:abstractNumId w:val="10"/>
  </w:num>
  <w:num w:numId="24">
    <w:abstractNumId w:val="5"/>
  </w:num>
  <w:num w:numId="25">
    <w:abstractNumId w:val="13"/>
  </w:num>
  <w:num w:numId="26">
    <w:abstractNumId w:val="8"/>
  </w:num>
  <w:num w:numId="27">
    <w:abstractNumId w:val="26"/>
  </w:num>
  <w:num w:numId="28">
    <w:abstractNumId w:val="23"/>
  </w:num>
  <w:num w:numId="29">
    <w:abstractNumId w:val="1"/>
  </w:num>
  <w:num w:numId="30">
    <w:abstractNumId w:val="19"/>
  </w:num>
  <w:num w:numId="31">
    <w:abstractNumId w:val="29"/>
  </w:num>
  <w:num w:numId="32">
    <w:abstractNumId w:val="22"/>
  </w:num>
  <w:num w:numId="33">
    <w:abstractNumId w:val="3"/>
  </w:num>
  <w:num w:numId="34">
    <w:abstractNumId w:val="4"/>
  </w:num>
  <w:num w:numId="35">
    <w:abstractNumId w:val="17"/>
  </w:num>
  <w:num w:numId="36">
    <w:abstractNumId w:val="6"/>
  </w:num>
  <w:num w:numId="37">
    <w:abstractNumId w:val="14"/>
  </w:num>
  <w:num w:numId="38">
    <w:abstractNumId w:val="31"/>
  </w:num>
  <w:num w:numId="39">
    <w:abstractNumId w:val="7"/>
  </w:num>
  <w:num w:numId="40">
    <w:abstractNumId w:val="20"/>
  </w:num>
  <w:num w:numId="4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91ABF"/>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1382"/>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1">
    <w:name w:val="normal__char1"/>
    <w:rsid w:val="00391ABF"/>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7390</Words>
  <Characters>44352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2023-06-26T09:38:00Z</dcterms:created>
  <dcterms:modified xsi:type="dcterms:W3CDTF">2023-06-26T09:38:00Z</dcterms:modified>
</cp:coreProperties>
</file>