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425A" w14:textId="5972D2A6" w:rsidR="6FFBBE40" w:rsidRDefault="440A87DC" w:rsidP="654F278D">
      <w:pPr>
        <w:rPr>
          <w:sz w:val="28"/>
          <w:szCs w:val="28"/>
        </w:rPr>
      </w:pPr>
      <w:r w:rsidRPr="654F278D">
        <w:rPr>
          <w:sz w:val="28"/>
          <w:szCs w:val="28"/>
        </w:rPr>
        <w:t>Reflective Writing Criteria –</w:t>
      </w:r>
      <w:r w:rsidR="006B76C6">
        <w:rPr>
          <w:sz w:val="28"/>
          <w:szCs w:val="28"/>
        </w:rPr>
        <w:t xml:space="preserve"> </w:t>
      </w:r>
      <w:r w:rsidRPr="654F278D">
        <w:rPr>
          <w:sz w:val="28"/>
          <w:szCs w:val="28"/>
        </w:rPr>
        <w:t>Advanced Practitioner in Urgent and Primary Care</w:t>
      </w:r>
      <w:r w:rsidR="4231159F" w:rsidRPr="654F278D">
        <w:rPr>
          <w:sz w:val="28"/>
          <w:szCs w:val="28"/>
        </w:rPr>
        <w:t xml:space="preserve"> Applications</w:t>
      </w:r>
    </w:p>
    <w:p w14:paraId="047B536E" w14:textId="76037EEE" w:rsidR="6654A638" w:rsidRDefault="6654A638" w:rsidP="654F278D">
      <w:r w:rsidRPr="654F278D">
        <w:t>These criteria will be used for shortlisting based on the reflection. All criteria must achieve a minimum ‘Acceptable’ level.</w:t>
      </w:r>
    </w:p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2160"/>
        <w:gridCol w:w="2970"/>
        <w:gridCol w:w="2985"/>
        <w:gridCol w:w="2970"/>
        <w:gridCol w:w="2865"/>
      </w:tblGrid>
      <w:tr w:rsidR="6FFBBE40" w14:paraId="296C1EA4" w14:textId="77777777" w:rsidTr="6BEAF9B2">
        <w:tc>
          <w:tcPr>
            <w:tcW w:w="2160" w:type="dxa"/>
          </w:tcPr>
          <w:p w14:paraId="58CDB1B3" w14:textId="4F669075" w:rsidR="6FFBBE40" w:rsidRDefault="444B8878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Criteria</w:t>
            </w:r>
          </w:p>
          <w:p w14:paraId="40B99AB9" w14:textId="22427846" w:rsidR="6FFBBE40" w:rsidRDefault="6FFBBE40" w:rsidP="654F278D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12B5AD04" w14:textId="36AA9190" w:rsidR="28092012" w:rsidRDefault="28092012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Excellent</w:t>
            </w:r>
          </w:p>
        </w:tc>
        <w:tc>
          <w:tcPr>
            <w:tcW w:w="2985" w:type="dxa"/>
          </w:tcPr>
          <w:p w14:paraId="24707F92" w14:textId="0462A573" w:rsidR="28092012" w:rsidRDefault="28092012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Good</w:t>
            </w:r>
          </w:p>
        </w:tc>
        <w:tc>
          <w:tcPr>
            <w:tcW w:w="2970" w:type="dxa"/>
          </w:tcPr>
          <w:p w14:paraId="686247ED" w14:textId="08CAEE68" w:rsidR="28092012" w:rsidRDefault="28092012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Acceptable</w:t>
            </w:r>
          </w:p>
        </w:tc>
        <w:tc>
          <w:tcPr>
            <w:tcW w:w="2865" w:type="dxa"/>
          </w:tcPr>
          <w:p w14:paraId="77D06A77" w14:textId="2562B009" w:rsidR="28092012" w:rsidRDefault="28092012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Needs work before future applications</w:t>
            </w:r>
          </w:p>
        </w:tc>
      </w:tr>
      <w:tr w:rsidR="6FFBBE40" w14:paraId="01B6C536" w14:textId="77777777" w:rsidTr="6BEAF9B2">
        <w:tc>
          <w:tcPr>
            <w:tcW w:w="2160" w:type="dxa"/>
          </w:tcPr>
          <w:p w14:paraId="2BB1C568" w14:textId="5DB59879" w:rsidR="6FFBBE40" w:rsidRDefault="7E15BB96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Written communications skills identifying and analysing complex problems and issues</w:t>
            </w:r>
          </w:p>
        </w:tc>
        <w:tc>
          <w:tcPr>
            <w:tcW w:w="2970" w:type="dxa"/>
          </w:tcPr>
          <w:p w14:paraId="3AF883CD" w14:textId="6A363925" w:rsidR="2BEF5174" w:rsidRDefault="2B086AAB" w:rsidP="654F278D">
            <w:r w:rsidRPr="654F278D">
              <w:t>Clear identification of interlinked</w:t>
            </w:r>
            <w:r w:rsidR="1E99FDC2" w:rsidRPr="654F278D">
              <w:t>,</w:t>
            </w:r>
            <w:r w:rsidRPr="654F278D">
              <w:t xml:space="preserve"> complex problems, in-de</w:t>
            </w:r>
            <w:r w:rsidR="2DB0672E" w:rsidRPr="654F278D">
              <w:t>pth analysis including consideration for the competing factors at play.</w:t>
            </w:r>
          </w:p>
        </w:tc>
        <w:tc>
          <w:tcPr>
            <w:tcW w:w="2985" w:type="dxa"/>
          </w:tcPr>
          <w:p w14:paraId="20C39863" w14:textId="63BEBAB1" w:rsidR="74ADE813" w:rsidRDefault="6FFE7CC8" w:rsidP="654F278D">
            <w:r w:rsidRPr="654F278D">
              <w:t>Identifies complex problems with some consideration for the inte</w:t>
            </w:r>
            <w:r w:rsidR="74B7BA0C" w:rsidRPr="654F278D">
              <w:t>rlinked</w:t>
            </w:r>
            <w:r w:rsidRPr="654F278D">
              <w:t xml:space="preserve"> nature of these. In depth analysis of most issues with </w:t>
            </w:r>
            <w:r w:rsidR="04E741AC" w:rsidRPr="654F278D">
              <w:t>occasional consideration of the competing factors involved.</w:t>
            </w:r>
          </w:p>
        </w:tc>
        <w:tc>
          <w:tcPr>
            <w:tcW w:w="2970" w:type="dxa"/>
          </w:tcPr>
          <w:p w14:paraId="70145FD4" w14:textId="5C96DA5A" w:rsidR="74ADE813" w:rsidRDefault="2EA361FA" w:rsidP="654F278D">
            <w:r w:rsidRPr="654F278D">
              <w:t>Identifies complex problems with minimal consideration of the inter</w:t>
            </w:r>
            <w:r w:rsidR="1DAFB22A" w:rsidRPr="654F278D">
              <w:t>linked</w:t>
            </w:r>
            <w:r w:rsidRPr="654F278D">
              <w:t xml:space="preserve"> nature of these. Analysis is in-depth at times</w:t>
            </w:r>
            <w:r w:rsidR="46938317" w:rsidRPr="654F278D">
              <w:t>.</w:t>
            </w:r>
          </w:p>
        </w:tc>
        <w:tc>
          <w:tcPr>
            <w:tcW w:w="2865" w:type="dxa"/>
          </w:tcPr>
          <w:p w14:paraId="7CA97BBE" w14:textId="2FCFC105" w:rsidR="5BFC4A53" w:rsidRDefault="5BFC4A53" w:rsidP="654F278D">
            <w:r w:rsidRPr="654F278D">
              <w:t xml:space="preserve">Does not identify </w:t>
            </w:r>
            <w:r w:rsidR="78CE4D29" w:rsidRPr="654F278D">
              <w:t xml:space="preserve">key issues or issues are </w:t>
            </w:r>
            <w:r w:rsidR="105F0E90" w:rsidRPr="654F278D">
              <w:t>considered</w:t>
            </w:r>
            <w:r w:rsidR="78CE4D29" w:rsidRPr="654F278D">
              <w:t xml:space="preserve"> as separate </w:t>
            </w:r>
            <w:r w:rsidR="310C9BF7" w:rsidRPr="654F278D">
              <w:t>entities</w:t>
            </w:r>
            <w:r w:rsidR="44B7E921" w:rsidRPr="654F278D">
              <w:t>.</w:t>
            </w:r>
            <w:r w:rsidR="394C545D" w:rsidRPr="654F278D">
              <w:t xml:space="preserve"> No demonstration of in-depth analysis.</w:t>
            </w:r>
          </w:p>
          <w:p w14:paraId="5B0A2B18" w14:textId="1C651C6C" w:rsidR="6FFBBE40" w:rsidRDefault="6FFBBE40" w:rsidP="654F278D"/>
        </w:tc>
      </w:tr>
      <w:tr w:rsidR="6FFBBE40" w14:paraId="7CF441A8" w14:textId="77777777" w:rsidTr="6BEAF9B2">
        <w:tc>
          <w:tcPr>
            <w:tcW w:w="2160" w:type="dxa"/>
          </w:tcPr>
          <w:p w14:paraId="29E9BF06" w14:textId="1B507340" w:rsidR="6FFBBE40" w:rsidRDefault="7DAD2F8A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Demonstration of critical thinking and judgement</w:t>
            </w:r>
          </w:p>
        </w:tc>
        <w:tc>
          <w:tcPr>
            <w:tcW w:w="2970" w:type="dxa"/>
          </w:tcPr>
          <w:p w14:paraId="06591A7F" w14:textId="6F84FCED" w:rsidR="6FFBBE40" w:rsidRDefault="7CF38E6B" w:rsidP="654F278D">
            <w:pPr>
              <w:spacing w:line="259" w:lineRule="auto"/>
            </w:pPr>
            <w:r w:rsidRPr="654F278D">
              <w:t>D</w:t>
            </w:r>
            <w:r w:rsidR="480351B0" w:rsidRPr="654F278D">
              <w:t xml:space="preserve">emonstrates </w:t>
            </w:r>
            <w:r w:rsidR="111C119D" w:rsidRPr="654F278D">
              <w:t>increased knowledge through</w:t>
            </w:r>
            <w:r w:rsidR="324DD126" w:rsidRPr="654F278D">
              <w:t xml:space="preserve"> doing further research.</w:t>
            </w:r>
          </w:p>
          <w:p w14:paraId="4EDE7310" w14:textId="5C202E78" w:rsidR="6FFBBE40" w:rsidRDefault="3E68D7BD" w:rsidP="654F278D">
            <w:pPr>
              <w:spacing w:line="259" w:lineRule="auto"/>
            </w:pPr>
            <w:r w:rsidRPr="654F278D">
              <w:t>AND</w:t>
            </w:r>
          </w:p>
          <w:p w14:paraId="511EBC81" w14:textId="0E5D0789" w:rsidR="6FFBBE40" w:rsidRDefault="3BE0962F" w:rsidP="654F278D">
            <w:pPr>
              <w:spacing w:line="259" w:lineRule="auto"/>
            </w:pPr>
            <w:r w:rsidRPr="654F278D">
              <w:t xml:space="preserve">Demonstrates consideration of the new information and alternative </w:t>
            </w:r>
            <w:r w:rsidR="616667F9" w:rsidRPr="654F278D">
              <w:t>viewpoints</w:t>
            </w:r>
            <w:r w:rsidR="43F34251" w:rsidRPr="654F278D">
              <w:t xml:space="preserve">. </w:t>
            </w:r>
          </w:p>
          <w:p w14:paraId="4C0BF8A3" w14:textId="2815B7AF" w:rsidR="6FFBBE40" w:rsidRDefault="5C834E8D" w:rsidP="654F278D">
            <w:pPr>
              <w:spacing w:line="259" w:lineRule="auto"/>
            </w:pPr>
            <w:r w:rsidRPr="654F278D">
              <w:t>AND</w:t>
            </w:r>
          </w:p>
          <w:p w14:paraId="4D219A7F" w14:textId="5F5215CE" w:rsidR="6FFBBE40" w:rsidRDefault="5C834E8D" w:rsidP="654F278D">
            <w:pPr>
              <w:spacing w:line="259" w:lineRule="auto"/>
            </w:pPr>
            <w:r w:rsidRPr="654F278D">
              <w:t xml:space="preserve">Demonstrates that the </w:t>
            </w:r>
            <w:r w:rsidR="43F34251" w:rsidRPr="654F278D">
              <w:t>above leads to increased understanding or</w:t>
            </w:r>
            <w:r w:rsidR="0EB50016" w:rsidRPr="654F278D">
              <w:t xml:space="preserve"> different judgement of the situation.</w:t>
            </w:r>
          </w:p>
        </w:tc>
        <w:tc>
          <w:tcPr>
            <w:tcW w:w="2985" w:type="dxa"/>
          </w:tcPr>
          <w:p w14:paraId="79CA8406" w14:textId="6F84FCED" w:rsidR="6FFBBE40" w:rsidRDefault="7C12E596" w:rsidP="654F278D">
            <w:pPr>
              <w:spacing w:line="259" w:lineRule="auto"/>
            </w:pPr>
            <w:r w:rsidRPr="654F278D">
              <w:t>Demonstrates increased knowledge through doing further research.</w:t>
            </w:r>
          </w:p>
          <w:p w14:paraId="22E49DF9" w14:textId="5C202E78" w:rsidR="6FFBBE40" w:rsidRDefault="7C12E596" w:rsidP="654F278D">
            <w:pPr>
              <w:spacing w:line="259" w:lineRule="auto"/>
            </w:pPr>
            <w:r w:rsidRPr="654F278D">
              <w:t>AND</w:t>
            </w:r>
          </w:p>
          <w:p w14:paraId="5F4C95B6" w14:textId="298BB5CF" w:rsidR="6FFBBE40" w:rsidRDefault="7C12E596" w:rsidP="654F278D">
            <w:pPr>
              <w:spacing w:line="259" w:lineRule="auto"/>
            </w:pPr>
            <w:r w:rsidRPr="654F278D">
              <w:t xml:space="preserve">Demonstrates consideration of the new information or alternative viewpoints. </w:t>
            </w:r>
          </w:p>
          <w:p w14:paraId="36F7E9D2" w14:textId="2815B7AF" w:rsidR="6FFBBE40" w:rsidRDefault="7C12E596" w:rsidP="654F278D">
            <w:pPr>
              <w:spacing w:line="259" w:lineRule="auto"/>
            </w:pPr>
            <w:r w:rsidRPr="654F278D">
              <w:t>AND</w:t>
            </w:r>
          </w:p>
          <w:p w14:paraId="44600E41" w14:textId="7482E486" w:rsidR="6FFBBE40" w:rsidRDefault="7C12E596" w:rsidP="654F278D">
            <w:pPr>
              <w:spacing w:line="259" w:lineRule="auto"/>
            </w:pPr>
            <w:r w:rsidRPr="654F278D">
              <w:t>Demonstrates that the above leads to increased understanding or different judgement of the situation.</w:t>
            </w:r>
          </w:p>
        </w:tc>
        <w:tc>
          <w:tcPr>
            <w:tcW w:w="2970" w:type="dxa"/>
          </w:tcPr>
          <w:p w14:paraId="6872427A" w14:textId="6F84FCED" w:rsidR="6FFBBE40" w:rsidRDefault="2E9455F1" w:rsidP="654F278D">
            <w:pPr>
              <w:spacing w:line="259" w:lineRule="auto"/>
            </w:pPr>
            <w:r w:rsidRPr="654F278D">
              <w:t>Demonstrates increased knowledge through doing further research.</w:t>
            </w:r>
          </w:p>
          <w:p w14:paraId="16853826" w14:textId="29ED577A" w:rsidR="6FFBBE40" w:rsidRDefault="2E9455F1" w:rsidP="654F278D">
            <w:pPr>
              <w:spacing w:line="259" w:lineRule="auto"/>
            </w:pPr>
            <w:r w:rsidRPr="654F278D">
              <w:t>OR</w:t>
            </w:r>
          </w:p>
          <w:p w14:paraId="7DFD86D9" w14:textId="3889BB13" w:rsidR="6FFBBE40" w:rsidRDefault="2E9455F1" w:rsidP="654F278D">
            <w:pPr>
              <w:spacing w:line="259" w:lineRule="auto"/>
            </w:pPr>
            <w:r w:rsidRPr="654F278D">
              <w:t xml:space="preserve">Demonstrates consideration of alternative viewpoints. </w:t>
            </w:r>
          </w:p>
          <w:p w14:paraId="590BA841" w14:textId="2815B7AF" w:rsidR="6FFBBE40" w:rsidRDefault="2E9455F1" w:rsidP="654F278D">
            <w:pPr>
              <w:spacing w:line="259" w:lineRule="auto"/>
            </w:pPr>
            <w:r w:rsidRPr="654F278D">
              <w:t>AND</w:t>
            </w:r>
          </w:p>
          <w:p w14:paraId="6757DCDC" w14:textId="48F776AA" w:rsidR="6FFBBE40" w:rsidRDefault="2E9455F1" w:rsidP="654F278D">
            <w:pPr>
              <w:spacing w:line="259" w:lineRule="auto"/>
            </w:pPr>
            <w:r w:rsidRPr="654F278D">
              <w:t>Demonstrates that the above leads to increased understanding or different judgement of the situation.</w:t>
            </w:r>
          </w:p>
        </w:tc>
        <w:tc>
          <w:tcPr>
            <w:tcW w:w="2865" w:type="dxa"/>
          </w:tcPr>
          <w:p w14:paraId="07E36A4A" w14:textId="7A306624" w:rsidR="6FFBBE40" w:rsidRDefault="04C0573A" w:rsidP="654F278D">
            <w:r w:rsidRPr="654F278D">
              <w:t xml:space="preserve">Does not demonstrate </w:t>
            </w:r>
            <w:r w:rsidR="4947A0AD" w:rsidRPr="654F278D">
              <w:t>further research</w:t>
            </w:r>
            <w:r w:rsidR="166EB45E" w:rsidRPr="654F278D">
              <w:t xml:space="preserve"> or</w:t>
            </w:r>
            <w:r w:rsidR="4947A0AD" w:rsidRPr="654F278D">
              <w:t xml:space="preserve"> consideration of alternative viewpoints.</w:t>
            </w:r>
          </w:p>
        </w:tc>
      </w:tr>
      <w:tr w:rsidR="75A6011A" w14:paraId="3E41FD82" w14:textId="77777777" w:rsidTr="6BEAF9B2">
        <w:tc>
          <w:tcPr>
            <w:tcW w:w="2160" w:type="dxa"/>
          </w:tcPr>
          <w:p w14:paraId="173722BB" w14:textId="6FA8980B" w:rsidR="2CAC8DF8" w:rsidRDefault="2CAC8DF8" w:rsidP="654F278D">
            <w:pPr>
              <w:rPr>
                <w:b/>
                <w:bCs/>
              </w:rPr>
            </w:pPr>
            <w:r w:rsidRPr="654F278D">
              <w:rPr>
                <w:b/>
                <w:bCs/>
              </w:rPr>
              <w:t>Demonstration of ability to identify and address personal learning needs as part of CPD</w:t>
            </w:r>
          </w:p>
        </w:tc>
        <w:tc>
          <w:tcPr>
            <w:tcW w:w="2970" w:type="dxa"/>
          </w:tcPr>
          <w:p w14:paraId="408BFE37" w14:textId="44447C30" w:rsidR="75A6011A" w:rsidRDefault="126D0639" w:rsidP="654F278D">
            <w:r w:rsidRPr="654F278D">
              <w:t>Clear</w:t>
            </w:r>
            <w:r w:rsidR="6B0F497B" w:rsidRPr="654F278D">
              <w:t>,</w:t>
            </w:r>
            <w:r w:rsidRPr="654F278D">
              <w:t xml:space="preserve"> </w:t>
            </w:r>
            <w:r w:rsidR="371EEBFE" w:rsidRPr="654F278D">
              <w:t xml:space="preserve">detailed plan to </w:t>
            </w:r>
            <w:r w:rsidR="34FBF56D" w:rsidRPr="654F278D">
              <w:t>address</w:t>
            </w:r>
            <w:r w:rsidR="371EEBFE" w:rsidRPr="654F278D">
              <w:t xml:space="preserve"> </w:t>
            </w:r>
            <w:r w:rsidR="72772326" w:rsidRPr="654F278D">
              <w:t>more than 2</w:t>
            </w:r>
            <w:r w:rsidR="3D41510B" w:rsidRPr="654F278D">
              <w:t xml:space="preserve"> personal</w:t>
            </w:r>
            <w:r w:rsidR="72772326" w:rsidRPr="654F278D">
              <w:t xml:space="preserve"> learning needs.</w:t>
            </w:r>
          </w:p>
        </w:tc>
        <w:tc>
          <w:tcPr>
            <w:tcW w:w="2985" w:type="dxa"/>
          </w:tcPr>
          <w:p w14:paraId="2EF102B7" w14:textId="79363976" w:rsidR="75A6011A" w:rsidRDefault="5EF9ACAE" w:rsidP="654F278D">
            <w:r w:rsidRPr="654F278D">
              <w:t xml:space="preserve">Clear, detailed plan to </w:t>
            </w:r>
            <w:r w:rsidR="3E741349" w:rsidRPr="654F278D">
              <w:t>address</w:t>
            </w:r>
            <w:r w:rsidRPr="654F278D">
              <w:t xml:space="preserve"> 2</w:t>
            </w:r>
            <w:r w:rsidR="112428BA" w:rsidRPr="654F278D">
              <w:t xml:space="preserve"> personal</w:t>
            </w:r>
            <w:r w:rsidRPr="654F278D">
              <w:t xml:space="preserve"> learning needs.</w:t>
            </w:r>
          </w:p>
        </w:tc>
        <w:tc>
          <w:tcPr>
            <w:tcW w:w="2970" w:type="dxa"/>
          </w:tcPr>
          <w:p w14:paraId="788BF45D" w14:textId="5970E584" w:rsidR="75A6011A" w:rsidRDefault="55A982D4" w:rsidP="654F278D">
            <w:r w:rsidRPr="654F278D">
              <w:t>Clear, detailed plan to</w:t>
            </w:r>
            <w:r w:rsidR="0245EE2F" w:rsidRPr="654F278D">
              <w:t xml:space="preserve"> address</w:t>
            </w:r>
            <w:r w:rsidRPr="654F278D">
              <w:t xml:space="preserve"> 1</w:t>
            </w:r>
            <w:r w:rsidR="39259069" w:rsidRPr="654F278D">
              <w:t xml:space="preserve"> personal</w:t>
            </w:r>
            <w:r w:rsidRPr="654F278D">
              <w:t xml:space="preserve"> learning need.</w:t>
            </w:r>
          </w:p>
        </w:tc>
        <w:tc>
          <w:tcPr>
            <w:tcW w:w="2865" w:type="dxa"/>
          </w:tcPr>
          <w:p w14:paraId="47FA530A" w14:textId="005A1A9F" w:rsidR="75A6011A" w:rsidRDefault="55A982D4" w:rsidP="654F278D">
            <w:r w:rsidRPr="654F278D">
              <w:t xml:space="preserve">Lacks a clear, detailed plan to identify </w:t>
            </w:r>
            <w:r w:rsidR="211B94CE" w:rsidRPr="654F278D">
              <w:t xml:space="preserve">any of the personal learning needs identified </w:t>
            </w:r>
          </w:p>
          <w:p w14:paraId="62AAEC06" w14:textId="78FA9D3C" w:rsidR="75A6011A" w:rsidRDefault="211B94CE" w:rsidP="654F278D">
            <w:r w:rsidRPr="654F278D">
              <w:t>OR</w:t>
            </w:r>
          </w:p>
          <w:p w14:paraId="2614B5F6" w14:textId="0ED90290" w:rsidR="75A6011A" w:rsidRDefault="211B94CE" w:rsidP="654F278D">
            <w:r w:rsidRPr="654F278D">
              <w:t>Does not identify any personal learning needs.</w:t>
            </w:r>
          </w:p>
        </w:tc>
      </w:tr>
    </w:tbl>
    <w:p w14:paraId="295D7F03" w14:textId="21AB3425" w:rsidR="654F278D" w:rsidRDefault="654F278D"/>
    <w:p w14:paraId="4AFEFCE9" w14:textId="6B9EB8E4" w:rsidR="6FFBBE40" w:rsidRDefault="6FFBBE40" w:rsidP="6FFBBE40"/>
    <w:p w14:paraId="0BEA5EC3" w14:textId="1442EDB3" w:rsidR="009954E9" w:rsidRDefault="60E9513E" w:rsidP="6BEAF9B2">
      <w:pPr>
        <w:rPr>
          <w:sz w:val="28"/>
          <w:szCs w:val="28"/>
          <w:u w:val="single"/>
        </w:rPr>
      </w:pPr>
      <w:r w:rsidRPr="6BEAF9B2">
        <w:rPr>
          <w:sz w:val="28"/>
          <w:szCs w:val="28"/>
          <w:u w:val="single"/>
        </w:rPr>
        <w:t>Further Guidance and Support</w:t>
      </w:r>
    </w:p>
    <w:p w14:paraId="798ED8EC" w14:textId="73209A8A" w:rsidR="009954E9" w:rsidRDefault="00F63182" w:rsidP="654F278D">
      <w:r>
        <w:t>Your</w:t>
      </w:r>
      <w:r w:rsidR="009954E9">
        <w:t xml:space="preserve"> reflection </w:t>
      </w:r>
      <w:r>
        <w:t>should</w:t>
      </w:r>
      <w:r w:rsidR="009954E9">
        <w:t xml:space="preserve"> </w:t>
      </w:r>
      <w:r w:rsidR="000F02DB">
        <w:t>relate to</w:t>
      </w:r>
      <w:r w:rsidR="009D4E0C">
        <w:t xml:space="preserve"> Urgent or Primary Care</w:t>
      </w:r>
      <w:r w:rsidR="000F02DB">
        <w:t xml:space="preserve">, ideally relating to an instance where you were </w:t>
      </w:r>
      <w:r w:rsidR="009D4E0C">
        <w:t>saw or spoke to a patient within an urgent or primary care setting</w:t>
      </w:r>
      <w:r>
        <w:t>.</w:t>
      </w:r>
    </w:p>
    <w:p w14:paraId="50FC45DB" w14:textId="77777777" w:rsidR="009D4E0C" w:rsidRDefault="6C3F5118" w:rsidP="009D4E0C">
      <w:r>
        <w:t>Y</w:t>
      </w:r>
      <w:r w:rsidR="0C4B9BA2">
        <w:t>ou are welcome to use whiche</w:t>
      </w:r>
      <w:r w:rsidR="155A2E89">
        <w:t xml:space="preserve">ver format you prefer for reflective writing. </w:t>
      </w:r>
    </w:p>
    <w:p w14:paraId="6796C913" w14:textId="71758839" w:rsidR="009D4E0C" w:rsidRDefault="009D4E0C" w:rsidP="009D4E0C">
      <w:r>
        <w:t xml:space="preserve">If you are not familiar with reflective writing, a good place to start might be Rolfe’s 3 stage reflective model. The attached page outlines Rolfe’s reflective model and gives some good guidance on what should be considered in each section from University of Cumbria. </w:t>
      </w:r>
    </w:p>
    <w:p w14:paraId="10228966" w14:textId="1EACBC8A" w:rsidR="6C3F5118" w:rsidRDefault="6C3F5118" w:rsidP="654F278D"/>
    <w:p w14:paraId="759398CF" w14:textId="77777777" w:rsidR="00074D10" w:rsidRDefault="6C2A4E16" w:rsidP="009D4E0C">
      <w:r>
        <w:t xml:space="preserve">You are expected to appropriately reference any sources that you use within your reflection. You can use whichever standardised referencing format you prefer, </w:t>
      </w:r>
      <w:proofErr w:type="gramStart"/>
      <w:r>
        <w:t>e.g.</w:t>
      </w:r>
      <w:proofErr w:type="gramEnd"/>
      <w:r>
        <w:t xml:space="preserve"> Harvard referencing.</w:t>
      </w:r>
      <w:r w:rsidR="00145773">
        <w:t xml:space="preserve"> A reference list should be provided in the ‘Additional Information’ box rather than taking up word count in the reflective writing box.</w:t>
      </w:r>
      <w:r w:rsidR="009D4E0C">
        <w:t xml:space="preserve"> </w:t>
      </w:r>
    </w:p>
    <w:p w14:paraId="2F35354E" w14:textId="77777777" w:rsidR="00074D10" w:rsidRDefault="00074D10" w:rsidP="009D4E0C"/>
    <w:p w14:paraId="1FF84CC2" w14:textId="3A5A2473" w:rsidR="009D4E0C" w:rsidRPr="001439A7" w:rsidRDefault="009D4E0C" w:rsidP="009D4E0C">
      <w:pPr>
        <w:rPr>
          <w:rFonts w:ascii="Calibri" w:eastAsia="Calibri" w:hAnsi="Calibri" w:cs="Calibri"/>
        </w:rPr>
      </w:pPr>
      <w:r w:rsidRPr="6BEAF9B2">
        <w:rPr>
          <w:rFonts w:ascii="Calibri" w:eastAsia="Calibri" w:hAnsi="Calibri" w:cs="Calibri"/>
        </w:rPr>
        <w:t xml:space="preserve">For further guidance on reflective writing and how to use references in your writing, this link will take you to the Glasgow Caledonian University guidance on academic writing, including referencing: </w:t>
      </w:r>
      <w:hyperlink r:id="rId5">
        <w:r w:rsidRPr="6BEAF9B2">
          <w:rPr>
            <w:rStyle w:val="Hyperlink"/>
            <w:rFonts w:ascii="Calibri" w:eastAsia="Calibri" w:hAnsi="Calibri" w:cs="Calibri"/>
          </w:rPr>
          <w:t>SHLS LDC GCU Learn - Academic writing (google.com)</w:t>
        </w:r>
      </w:hyperlink>
      <w:r w:rsidRPr="6BEAF9B2">
        <w:rPr>
          <w:rFonts w:ascii="Calibri" w:eastAsia="Calibri" w:hAnsi="Calibri" w:cs="Calibri"/>
        </w:rPr>
        <w:t xml:space="preserve"> </w:t>
      </w:r>
      <w:r w:rsidRPr="654F278D">
        <w:rPr>
          <w:rFonts w:ascii="Calibri" w:eastAsia="Calibri" w:hAnsi="Calibri" w:cs="Calibri"/>
        </w:rPr>
        <w:t xml:space="preserve"> </w:t>
      </w:r>
    </w:p>
    <w:p w14:paraId="344F224B" w14:textId="13A57C41" w:rsidR="6C2A4E16" w:rsidRDefault="6C2A4E16" w:rsidP="6BEAF9B2"/>
    <w:p w14:paraId="13195536" w14:textId="33C0E903" w:rsidR="001439A7" w:rsidRDefault="001439A7" w:rsidP="654F278D">
      <w:pPr>
        <w:rPr>
          <w:rFonts w:ascii="Calibri" w:eastAsia="Calibri" w:hAnsi="Calibri" w:cs="Calibri"/>
        </w:rPr>
      </w:pPr>
    </w:p>
    <w:p w14:paraId="6CE46EB7" w14:textId="1FE25753" w:rsidR="654F278D" w:rsidRDefault="654F278D" w:rsidP="654F278D">
      <w:pPr>
        <w:rPr>
          <w:rFonts w:ascii="Calibri" w:eastAsia="Calibri" w:hAnsi="Calibri" w:cs="Calibri"/>
        </w:rPr>
      </w:pPr>
    </w:p>
    <w:sectPr w:rsidR="654F278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551"/>
    <w:multiLevelType w:val="hybridMultilevel"/>
    <w:tmpl w:val="F3B2B2B2"/>
    <w:lvl w:ilvl="0" w:tplc="D15E8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0D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C9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5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E0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EA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E1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6B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7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77E063"/>
    <w:rsid w:val="00074D10"/>
    <w:rsid w:val="000F02DB"/>
    <w:rsid w:val="001439A7"/>
    <w:rsid w:val="00145773"/>
    <w:rsid w:val="002805FA"/>
    <w:rsid w:val="005072F7"/>
    <w:rsid w:val="005D20A8"/>
    <w:rsid w:val="00651726"/>
    <w:rsid w:val="006B76C6"/>
    <w:rsid w:val="008756EA"/>
    <w:rsid w:val="009954E9"/>
    <w:rsid w:val="009D4E0C"/>
    <w:rsid w:val="00A456C5"/>
    <w:rsid w:val="00D24EA8"/>
    <w:rsid w:val="00D6C606"/>
    <w:rsid w:val="00F63182"/>
    <w:rsid w:val="0245EE2F"/>
    <w:rsid w:val="0326567C"/>
    <w:rsid w:val="040194F6"/>
    <w:rsid w:val="0428B3D4"/>
    <w:rsid w:val="04C0573A"/>
    <w:rsid w:val="04E741AC"/>
    <w:rsid w:val="056793D9"/>
    <w:rsid w:val="05DC17A9"/>
    <w:rsid w:val="06891115"/>
    <w:rsid w:val="07605496"/>
    <w:rsid w:val="0777E80A"/>
    <w:rsid w:val="077942E8"/>
    <w:rsid w:val="07BAF7CE"/>
    <w:rsid w:val="07E09F42"/>
    <w:rsid w:val="07EDFE0E"/>
    <w:rsid w:val="07F9C79F"/>
    <w:rsid w:val="080D270A"/>
    <w:rsid w:val="08D2D1EC"/>
    <w:rsid w:val="09959800"/>
    <w:rsid w:val="0A0C3932"/>
    <w:rsid w:val="0B36608F"/>
    <w:rsid w:val="0C4B9BA2"/>
    <w:rsid w:val="0CB41065"/>
    <w:rsid w:val="0CD8B380"/>
    <w:rsid w:val="0D0600FF"/>
    <w:rsid w:val="0D795E91"/>
    <w:rsid w:val="0DE95A30"/>
    <w:rsid w:val="0EB50016"/>
    <w:rsid w:val="105F0E90"/>
    <w:rsid w:val="111C119D"/>
    <w:rsid w:val="112428BA"/>
    <w:rsid w:val="1197A39A"/>
    <w:rsid w:val="126D0639"/>
    <w:rsid w:val="149CD638"/>
    <w:rsid w:val="155A2E89"/>
    <w:rsid w:val="15B04F0C"/>
    <w:rsid w:val="166EB45E"/>
    <w:rsid w:val="1684C0C5"/>
    <w:rsid w:val="16BCBCF7"/>
    <w:rsid w:val="18BA1D6B"/>
    <w:rsid w:val="18C6D4FD"/>
    <w:rsid w:val="1947765B"/>
    <w:rsid w:val="1A0AA881"/>
    <w:rsid w:val="1A9BB99C"/>
    <w:rsid w:val="1C3789FD"/>
    <w:rsid w:val="1DAFB22A"/>
    <w:rsid w:val="1E99FDC2"/>
    <w:rsid w:val="1EE3E3F9"/>
    <w:rsid w:val="1F1AF7B2"/>
    <w:rsid w:val="2078893F"/>
    <w:rsid w:val="20DB85DF"/>
    <w:rsid w:val="211B94CE"/>
    <w:rsid w:val="222D570A"/>
    <w:rsid w:val="22A6CB81"/>
    <w:rsid w:val="233A425A"/>
    <w:rsid w:val="241A6A38"/>
    <w:rsid w:val="2436742B"/>
    <w:rsid w:val="2466D115"/>
    <w:rsid w:val="26C064C5"/>
    <w:rsid w:val="27446690"/>
    <w:rsid w:val="27DB5102"/>
    <w:rsid w:val="28092012"/>
    <w:rsid w:val="2865A1D7"/>
    <w:rsid w:val="2900A9C9"/>
    <w:rsid w:val="291731B4"/>
    <w:rsid w:val="29D774A6"/>
    <w:rsid w:val="2A126F09"/>
    <w:rsid w:val="2ADC7D08"/>
    <w:rsid w:val="2B086AAB"/>
    <w:rsid w:val="2B2140C7"/>
    <w:rsid w:val="2B672A8A"/>
    <w:rsid w:val="2BEF5174"/>
    <w:rsid w:val="2CAC8DF8"/>
    <w:rsid w:val="2D772C94"/>
    <w:rsid w:val="2DB0672E"/>
    <w:rsid w:val="2E26EBF8"/>
    <w:rsid w:val="2E9455F1"/>
    <w:rsid w:val="2EA361FA"/>
    <w:rsid w:val="310C9BF7"/>
    <w:rsid w:val="31B2060D"/>
    <w:rsid w:val="3239960B"/>
    <w:rsid w:val="324DD126"/>
    <w:rsid w:val="33652E8F"/>
    <w:rsid w:val="33F8BBAD"/>
    <w:rsid w:val="34C76099"/>
    <w:rsid w:val="34FBF56D"/>
    <w:rsid w:val="371EEBFE"/>
    <w:rsid w:val="37E0B158"/>
    <w:rsid w:val="38345BA2"/>
    <w:rsid w:val="386AFB04"/>
    <w:rsid w:val="38A6AE64"/>
    <w:rsid w:val="39259069"/>
    <w:rsid w:val="394C545D"/>
    <w:rsid w:val="39D76E44"/>
    <w:rsid w:val="3B733EA5"/>
    <w:rsid w:val="3B897369"/>
    <w:rsid w:val="3BB00093"/>
    <w:rsid w:val="3BE0962F"/>
    <w:rsid w:val="3C0CCAEA"/>
    <w:rsid w:val="3D41510B"/>
    <w:rsid w:val="3DA8AFF5"/>
    <w:rsid w:val="3DB7C7B9"/>
    <w:rsid w:val="3E2CE217"/>
    <w:rsid w:val="3E68D7BD"/>
    <w:rsid w:val="3E741349"/>
    <w:rsid w:val="403DBB8D"/>
    <w:rsid w:val="404CC27A"/>
    <w:rsid w:val="409AC117"/>
    <w:rsid w:val="40C2467F"/>
    <w:rsid w:val="41E60325"/>
    <w:rsid w:val="42046794"/>
    <w:rsid w:val="4231159F"/>
    <w:rsid w:val="426DA531"/>
    <w:rsid w:val="42C2FCED"/>
    <w:rsid w:val="42E53D3F"/>
    <w:rsid w:val="43F34251"/>
    <w:rsid w:val="440A87DC"/>
    <w:rsid w:val="444B8878"/>
    <w:rsid w:val="44B7E921"/>
    <w:rsid w:val="453055AF"/>
    <w:rsid w:val="45D14756"/>
    <w:rsid w:val="45E415C4"/>
    <w:rsid w:val="46410620"/>
    <w:rsid w:val="46938317"/>
    <w:rsid w:val="46B22E9F"/>
    <w:rsid w:val="46FFC165"/>
    <w:rsid w:val="477FE625"/>
    <w:rsid w:val="480351B0"/>
    <w:rsid w:val="486C5E9D"/>
    <w:rsid w:val="488B24E5"/>
    <w:rsid w:val="4902E1BD"/>
    <w:rsid w:val="4947A0AD"/>
    <w:rsid w:val="4A1831B0"/>
    <w:rsid w:val="4A973DAB"/>
    <w:rsid w:val="4A9EB21E"/>
    <w:rsid w:val="4AAF740B"/>
    <w:rsid w:val="4C2E0D05"/>
    <w:rsid w:val="4C4C6061"/>
    <w:rsid w:val="4C729170"/>
    <w:rsid w:val="4C95101C"/>
    <w:rsid w:val="4EC1AE76"/>
    <w:rsid w:val="4F6626DA"/>
    <w:rsid w:val="50352A0C"/>
    <w:rsid w:val="55560B31"/>
    <w:rsid w:val="555851AD"/>
    <w:rsid w:val="55A159D4"/>
    <w:rsid w:val="55A982D4"/>
    <w:rsid w:val="55C33656"/>
    <w:rsid w:val="577330FD"/>
    <w:rsid w:val="581CE532"/>
    <w:rsid w:val="5870A485"/>
    <w:rsid w:val="5911BB0C"/>
    <w:rsid w:val="5A11B610"/>
    <w:rsid w:val="5B1155C3"/>
    <w:rsid w:val="5B40A834"/>
    <w:rsid w:val="5B77E063"/>
    <w:rsid w:val="5BF5F3D5"/>
    <w:rsid w:val="5BFC4A53"/>
    <w:rsid w:val="5C5967B5"/>
    <w:rsid w:val="5C834E8D"/>
    <w:rsid w:val="5D310DEE"/>
    <w:rsid w:val="5D8328C3"/>
    <w:rsid w:val="5EF9ACAE"/>
    <w:rsid w:val="6068E7FC"/>
    <w:rsid w:val="60E9513E"/>
    <w:rsid w:val="6109654C"/>
    <w:rsid w:val="616667F9"/>
    <w:rsid w:val="6354078E"/>
    <w:rsid w:val="64ED5F7E"/>
    <w:rsid w:val="654F278D"/>
    <w:rsid w:val="6654A638"/>
    <w:rsid w:val="66D2335B"/>
    <w:rsid w:val="6717888F"/>
    <w:rsid w:val="6791424D"/>
    <w:rsid w:val="68F70BE6"/>
    <w:rsid w:val="692D12AE"/>
    <w:rsid w:val="69328350"/>
    <w:rsid w:val="6957FB14"/>
    <w:rsid w:val="696162E5"/>
    <w:rsid w:val="6A4F2951"/>
    <w:rsid w:val="6B0883F6"/>
    <w:rsid w:val="6B0F497B"/>
    <w:rsid w:val="6BEAF9B2"/>
    <w:rsid w:val="6BF5039A"/>
    <w:rsid w:val="6C2A4E16"/>
    <w:rsid w:val="6C3F5118"/>
    <w:rsid w:val="6C7722F5"/>
    <w:rsid w:val="6CD5BA63"/>
    <w:rsid w:val="6D0E7E6D"/>
    <w:rsid w:val="6D1E9DC5"/>
    <w:rsid w:val="6D3BCCC8"/>
    <w:rsid w:val="6E0ABF75"/>
    <w:rsid w:val="6E81AFBE"/>
    <w:rsid w:val="6F4DE55B"/>
    <w:rsid w:val="6FD5E593"/>
    <w:rsid w:val="6FFBBE40"/>
    <w:rsid w:val="6FFE7CC8"/>
    <w:rsid w:val="710BAA1D"/>
    <w:rsid w:val="7171B5F4"/>
    <w:rsid w:val="7235981B"/>
    <w:rsid w:val="726E6058"/>
    <w:rsid w:val="72772326"/>
    <w:rsid w:val="7329CE71"/>
    <w:rsid w:val="738643F4"/>
    <w:rsid w:val="74ADE813"/>
    <w:rsid w:val="74B7BA0C"/>
    <w:rsid w:val="754DE3FF"/>
    <w:rsid w:val="75A6011A"/>
    <w:rsid w:val="762B0DDB"/>
    <w:rsid w:val="7653E42F"/>
    <w:rsid w:val="77A09410"/>
    <w:rsid w:val="77F23E39"/>
    <w:rsid w:val="787CCCD5"/>
    <w:rsid w:val="788E3E3A"/>
    <w:rsid w:val="78CE4D29"/>
    <w:rsid w:val="78CF7941"/>
    <w:rsid w:val="7A6049E0"/>
    <w:rsid w:val="7B9DAB19"/>
    <w:rsid w:val="7BADB07B"/>
    <w:rsid w:val="7BD25C70"/>
    <w:rsid w:val="7C12E596"/>
    <w:rsid w:val="7CF38E6B"/>
    <w:rsid w:val="7DAD2F8A"/>
    <w:rsid w:val="7E15B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7E063"/>
  <w15:chartTrackingRefBased/>
  <w15:docId w15:val="{5C756539-3231-4DAA-B695-9EF5944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9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Hamilton (SAS)</dc:creator>
  <cp:keywords/>
  <dc:description/>
  <cp:lastModifiedBy>Euan Malcolm (SAS)</cp:lastModifiedBy>
  <cp:revision>3</cp:revision>
  <dcterms:created xsi:type="dcterms:W3CDTF">2023-02-15T14:24:00Z</dcterms:created>
  <dcterms:modified xsi:type="dcterms:W3CDTF">2023-02-15T16:13:00Z</dcterms:modified>
</cp:coreProperties>
</file>