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760D18B8"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046593">
        <w:rPr>
          <w:rFonts w:ascii="Calibri" w:hAnsi="Calibri" w:cs="Arial"/>
          <w:b/>
          <w:color w:val="002060"/>
          <w:sz w:val="48"/>
          <w:szCs w:val="22"/>
        </w:rPr>
        <w:t xml:space="preserve">Locum </w:t>
      </w:r>
      <w:r w:rsidR="00BF2B07">
        <w:rPr>
          <w:rFonts w:ascii="Calibri" w:hAnsi="Calibri" w:cs="Arial"/>
          <w:b/>
          <w:color w:val="002060"/>
          <w:sz w:val="48"/>
          <w:szCs w:val="22"/>
        </w:rPr>
        <w:t xml:space="preserve">Consultant in </w:t>
      </w:r>
      <w:r w:rsidR="00046593">
        <w:rPr>
          <w:rFonts w:ascii="Calibri" w:hAnsi="Calibri" w:cs="Arial"/>
          <w:b/>
          <w:color w:val="002060"/>
          <w:sz w:val="48"/>
          <w:szCs w:val="22"/>
        </w:rPr>
        <w:t xml:space="preserve">Acute Medicine </w:t>
      </w:r>
    </w:p>
    <w:p w14:paraId="309776DC" w14:textId="58521726"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046593">
        <w:rPr>
          <w:rFonts w:ascii="Calibri" w:hAnsi="Calibri" w:cs="Arial"/>
          <w:b/>
          <w:color w:val="002060"/>
          <w:sz w:val="48"/>
          <w:szCs w:val="22"/>
        </w:rPr>
        <w:t>Glasgow Royal Infirmary</w:t>
      </w:r>
    </w:p>
    <w:p w14:paraId="3DB7B143" w14:textId="23C2CDB9"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046593">
        <w:rPr>
          <w:rFonts w:ascii="Calibri" w:hAnsi="Calibri" w:cs="Arial"/>
          <w:b/>
          <w:color w:val="002060"/>
          <w:sz w:val="48"/>
          <w:szCs w:val="22"/>
        </w:rPr>
        <w:t>159992</w:t>
      </w:r>
    </w:p>
    <w:p w14:paraId="76CDC9CA" w14:textId="4A66D0D1" w:rsidR="008A52E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046593">
        <w:rPr>
          <w:rFonts w:ascii="Calibri" w:hAnsi="Calibri" w:cs="Arial"/>
          <w:b/>
          <w:color w:val="002060"/>
          <w:sz w:val="48"/>
          <w:szCs w:val="22"/>
        </w:rPr>
        <w:t>24</w:t>
      </w:r>
      <w:r w:rsidR="00046593" w:rsidRPr="00046593">
        <w:rPr>
          <w:rFonts w:ascii="Calibri" w:hAnsi="Calibri" w:cs="Arial"/>
          <w:b/>
          <w:color w:val="002060"/>
          <w:sz w:val="48"/>
          <w:szCs w:val="22"/>
          <w:vertAlign w:val="superscript"/>
        </w:rPr>
        <w:t>th</w:t>
      </w:r>
      <w:r w:rsidR="00046593">
        <w:rPr>
          <w:rFonts w:ascii="Calibri" w:hAnsi="Calibri" w:cs="Arial"/>
          <w:b/>
          <w:color w:val="002060"/>
          <w:sz w:val="48"/>
          <w:szCs w:val="22"/>
        </w:rPr>
        <w:t xml:space="preserve"> August </w:t>
      </w:r>
      <w:r w:rsidR="00BF2B07">
        <w:rPr>
          <w:rFonts w:ascii="Calibri" w:hAnsi="Calibri" w:cs="Arial"/>
          <w:b/>
          <w:color w:val="002060"/>
          <w:sz w:val="48"/>
          <w:szCs w:val="22"/>
        </w:rPr>
        <w:t>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0B11FDAE" w14:textId="77777777" w:rsidR="00046593" w:rsidRDefault="00046593" w:rsidP="00315293">
      <w:pPr>
        <w:rPr>
          <w:rFonts w:ascii="Arial" w:hAnsi="Arial" w:cs="Arial"/>
          <w:b/>
          <w:color w:val="002060"/>
          <w:sz w:val="32"/>
        </w:rPr>
      </w:pPr>
    </w:p>
    <w:p w14:paraId="767859DF" w14:textId="77777777" w:rsidR="00046593" w:rsidRDefault="00046593" w:rsidP="00315293">
      <w:pPr>
        <w:rPr>
          <w:rFonts w:ascii="Arial" w:hAnsi="Arial" w:cs="Arial"/>
          <w:b/>
          <w:color w:val="002060"/>
          <w:sz w:val="32"/>
        </w:rPr>
      </w:pPr>
    </w:p>
    <w:p w14:paraId="5A5B43FF" w14:textId="4C3DB5E8"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6"/>
        <w:gridCol w:w="7400"/>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25F6AE61" w14:textId="77777777" w:rsidR="00046593" w:rsidRDefault="008502BD" w:rsidP="00046593">
      <w:pPr>
        <w:jc w:val="both"/>
        <w:rPr>
          <w:rFonts w:ascii="Arial" w:hAnsi="Arial" w:cs="Arial"/>
          <w:b/>
          <w:color w:val="002060"/>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p>
    <w:p w14:paraId="3EC34086" w14:textId="77777777" w:rsidR="00046593" w:rsidRDefault="00046593" w:rsidP="00046593">
      <w:pPr>
        <w:jc w:val="both"/>
        <w:rPr>
          <w:rFonts w:ascii="Arial" w:hAnsi="Arial" w:cs="Arial"/>
          <w:b/>
          <w:color w:val="002060"/>
        </w:rPr>
      </w:pPr>
    </w:p>
    <w:p w14:paraId="663EC713" w14:textId="79072102" w:rsidR="00046593" w:rsidRPr="00046593" w:rsidRDefault="00046593" w:rsidP="00046593">
      <w:pPr>
        <w:rPr>
          <w:rFonts w:ascii="Arial" w:hAnsi="Arial" w:cs="Arial"/>
          <w:b/>
          <w:color w:val="002060"/>
          <w:sz w:val="22"/>
          <w:szCs w:val="22"/>
        </w:rPr>
      </w:pPr>
      <w:r w:rsidRPr="00046593">
        <w:rPr>
          <w:rFonts w:ascii="Arial" w:hAnsi="Arial" w:cs="Arial"/>
          <w:b/>
          <w:color w:val="002060"/>
          <w:sz w:val="22"/>
          <w:szCs w:val="22"/>
        </w:rPr>
        <w:t>Grade:</w:t>
      </w:r>
      <w:r w:rsidRPr="00046593">
        <w:rPr>
          <w:rFonts w:ascii="Arial" w:hAnsi="Arial" w:cs="Arial"/>
          <w:b/>
          <w:color w:val="002060"/>
          <w:sz w:val="22"/>
          <w:szCs w:val="22"/>
        </w:rPr>
        <w:tab/>
      </w:r>
      <w:r w:rsidRPr="00046593">
        <w:rPr>
          <w:rFonts w:ascii="Arial" w:hAnsi="Arial" w:cs="Arial"/>
          <w:b/>
          <w:color w:val="002060"/>
          <w:sz w:val="22"/>
          <w:szCs w:val="22"/>
        </w:rPr>
        <w:tab/>
      </w:r>
      <w:r>
        <w:rPr>
          <w:rFonts w:ascii="Arial" w:hAnsi="Arial" w:cs="Arial"/>
          <w:b/>
          <w:color w:val="002060"/>
          <w:sz w:val="22"/>
          <w:szCs w:val="22"/>
        </w:rPr>
        <w:tab/>
      </w:r>
      <w:r w:rsidRPr="00046593">
        <w:rPr>
          <w:rFonts w:ascii="Arial" w:hAnsi="Arial" w:cs="Arial"/>
          <w:b/>
          <w:color w:val="002060"/>
          <w:sz w:val="22"/>
          <w:szCs w:val="22"/>
        </w:rPr>
        <w:t xml:space="preserve">Consultant </w:t>
      </w:r>
    </w:p>
    <w:p w14:paraId="116810ED" w14:textId="77777777" w:rsidR="00046593" w:rsidRPr="00046593" w:rsidRDefault="00046593" w:rsidP="00046593">
      <w:pPr>
        <w:rPr>
          <w:rFonts w:ascii="Arial" w:hAnsi="Arial" w:cs="Arial"/>
          <w:b/>
          <w:color w:val="002060"/>
          <w:sz w:val="22"/>
          <w:szCs w:val="22"/>
        </w:rPr>
      </w:pPr>
      <w:r w:rsidRPr="00046593">
        <w:rPr>
          <w:rFonts w:ascii="Arial" w:hAnsi="Arial" w:cs="Arial"/>
          <w:b/>
          <w:color w:val="002060"/>
          <w:sz w:val="22"/>
          <w:szCs w:val="22"/>
        </w:rPr>
        <w:t>Department:</w:t>
      </w:r>
      <w:r w:rsidRPr="00046593">
        <w:rPr>
          <w:rFonts w:ascii="Arial" w:hAnsi="Arial" w:cs="Arial"/>
          <w:b/>
          <w:color w:val="002060"/>
          <w:sz w:val="22"/>
          <w:szCs w:val="22"/>
        </w:rPr>
        <w:tab/>
      </w:r>
      <w:r w:rsidRPr="00046593">
        <w:rPr>
          <w:rFonts w:ascii="Arial" w:hAnsi="Arial" w:cs="Arial"/>
          <w:b/>
          <w:color w:val="002060"/>
          <w:sz w:val="22"/>
          <w:szCs w:val="22"/>
        </w:rPr>
        <w:tab/>
        <w:t>Acute Medicine</w:t>
      </w:r>
    </w:p>
    <w:p w14:paraId="605E1296" w14:textId="77777777" w:rsidR="00046593" w:rsidRPr="00046593" w:rsidRDefault="00046593" w:rsidP="00046593">
      <w:pPr>
        <w:rPr>
          <w:rFonts w:ascii="Arial" w:hAnsi="Arial" w:cs="Arial"/>
          <w:b/>
          <w:color w:val="002060"/>
          <w:sz w:val="22"/>
          <w:szCs w:val="22"/>
        </w:rPr>
      </w:pPr>
      <w:r w:rsidRPr="00046593">
        <w:rPr>
          <w:rFonts w:ascii="Arial" w:hAnsi="Arial" w:cs="Arial"/>
          <w:b/>
          <w:color w:val="002060"/>
          <w:sz w:val="22"/>
          <w:szCs w:val="22"/>
        </w:rPr>
        <w:t>Location:</w:t>
      </w:r>
      <w:r w:rsidRPr="00046593">
        <w:rPr>
          <w:rFonts w:ascii="Arial" w:hAnsi="Arial" w:cs="Arial"/>
          <w:b/>
          <w:color w:val="002060"/>
          <w:sz w:val="22"/>
          <w:szCs w:val="22"/>
        </w:rPr>
        <w:tab/>
      </w:r>
      <w:r w:rsidRPr="00046593">
        <w:rPr>
          <w:rFonts w:ascii="Arial" w:hAnsi="Arial" w:cs="Arial"/>
          <w:b/>
          <w:color w:val="002060"/>
          <w:sz w:val="22"/>
          <w:szCs w:val="22"/>
        </w:rPr>
        <w:tab/>
        <w:t>Glasgow Royal Infirmary</w:t>
      </w:r>
    </w:p>
    <w:p w14:paraId="13FBF111" w14:textId="77777777" w:rsidR="00046593" w:rsidRPr="00046593" w:rsidRDefault="00046593" w:rsidP="00046593">
      <w:pPr>
        <w:rPr>
          <w:rFonts w:ascii="Arial" w:hAnsi="Arial" w:cs="Arial"/>
          <w:color w:val="002060"/>
          <w:sz w:val="22"/>
          <w:szCs w:val="22"/>
        </w:rPr>
      </w:pPr>
    </w:p>
    <w:p w14:paraId="435BD438" w14:textId="77777777" w:rsidR="00046593" w:rsidRPr="00046593" w:rsidRDefault="00046593" w:rsidP="00046593">
      <w:pPr>
        <w:rPr>
          <w:rFonts w:ascii="Arial" w:hAnsi="Arial" w:cs="Arial"/>
          <w:color w:val="002060"/>
          <w:sz w:val="22"/>
          <w:szCs w:val="22"/>
        </w:rPr>
      </w:pPr>
      <w:r w:rsidRPr="00046593">
        <w:rPr>
          <w:rFonts w:ascii="Arial" w:hAnsi="Arial" w:cs="Arial"/>
          <w:color w:val="002060"/>
          <w:sz w:val="22"/>
          <w:szCs w:val="22"/>
        </w:rPr>
        <w:t xml:space="preserve">Applications are invited for post of locum Consultant in Acute Medicine based at Glasgow Royal Infirmary for 1 year to cover a period of maternity leave, starting in October 2023. The successful candidate will influence and lead the development of acute care within a unit recognized for its innovation and enthusiasm for change.  </w:t>
      </w:r>
    </w:p>
    <w:p w14:paraId="34E94747" w14:textId="77777777" w:rsidR="00046593" w:rsidRPr="00046593" w:rsidRDefault="00046593" w:rsidP="00046593">
      <w:pPr>
        <w:rPr>
          <w:rFonts w:ascii="Arial" w:hAnsi="Arial" w:cs="Arial"/>
          <w:color w:val="002060"/>
          <w:sz w:val="22"/>
          <w:szCs w:val="22"/>
        </w:rPr>
      </w:pPr>
    </w:p>
    <w:p w14:paraId="74604DF3" w14:textId="77777777" w:rsidR="00046593" w:rsidRPr="00046593" w:rsidRDefault="00046593" w:rsidP="00046593">
      <w:pPr>
        <w:rPr>
          <w:rFonts w:ascii="Arial" w:hAnsi="Arial" w:cs="Arial"/>
          <w:color w:val="002060"/>
          <w:sz w:val="22"/>
          <w:szCs w:val="22"/>
        </w:rPr>
      </w:pPr>
      <w:r w:rsidRPr="00046593">
        <w:rPr>
          <w:rFonts w:ascii="Arial" w:hAnsi="Arial" w:cs="Arial"/>
          <w:color w:val="002060"/>
          <w:sz w:val="22"/>
          <w:szCs w:val="22"/>
        </w:rPr>
        <w:t>The successful candidate will integrate into a team comprising 11 Consultants to support the acute medicine service. This will offer a real opportunity for the successful candidates to be involved in the development of a successful modern consultant led service.</w:t>
      </w:r>
    </w:p>
    <w:p w14:paraId="2D9B5758" w14:textId="77777777" w:rsidR="00046593" w:rsidRPr="00046593" w:rsidRDefault="00046593" w:rsidP="00046593">
      <w:pPr>
        <w:rPr>
          <w:rFonts w:ascii="Arial" w:hAnsi="Arial" w:cs="Arial"/>
          <w:color w:val="002060"/>
          <w:sz w:val="22"/>
          <w:szCs w:val="22"/>
        </w:rPr>
      </w:pPr>
    </w:p>
    <w:p w14:paraId="3B728C62" w14:textId="77777777" w:rsidR="00046593" w:rsidRPr="00046593" w:rsidRDefault="00046593" w:rsidP="00046593">
      <w:pPr>
        <w:rPr>
          <w:rFonts w:ascii="Arial" w:hAnsi="Arial" w:cs="Arial"/>
          <w:color w:val="002060"/>
          <w:sz w:val="22"/>
          <w:szCs w:val="22"/>
        </w:rPr>
      </w:pPr>
      <w:r w:rsidRPr="00046593">
        <w:rPr>
          <w:rFonts w:ascii="Arial" w:hAnsi="Arial" w:cs="Arial"/>
          <w:color w:val="002060"/>
          <w:sz w:val="22"/>
          <w:szCs w:val="22"/>
        </w:rPr>
        <w:t xml:space="preserve">Within Glasgow Royal Infirmary there are currently over 50 Consultant Physicians with special interests in Acute medicine, Cardiology, Diabetes and Endocrinology, Respiratory Medicine, Gastroenterology, Rheumatology and Older Peoples Medicine. </w:t>
      </w:r>
    </w:p>
    <w:p w14:paraId="6CD7B549" w14:textId="77777777" w:rsidR="00046593" w:rsidRPr="0069203E" w:rsidRDefault="00046593" w:rsidP="00046593">
      <w:pPr>
        <w:rPr>
          <w:rFonts w:ascii="Arial" w:hAnsi="Arial" w:cs="Arial"/>
          <w: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6"/>
        <w:gridCol w:w="2268"/>
        <w:gridCol w:w="4155"/>
        <w:gridCol w:w="1969"/>
      </w:tblGrid>
      <w:tr w:rsidR="00046593" w14:paraId="11457AA2" w14:textId="77777777" w:rsidTr="00046593">
        <w:trPr>
          <w:trHeight w:val="930"/>
        </w:trPr>
        <w:tc>
          <w:tcPr>
            <w:tcW w:w="10348" w:type="dxa"/>
            <w:gridSpan w:val="4"/>
          </w:tcPr>
          <w:p w14:paraId="2A5294CE" w14:textId="77777777" w:rsidR="00046593" w:rsidRDefault="00046593" w:rsidP="001C2470">
            <w:pPr>
              <w:pStyle w:val="Default"/>
              <w:ind w:left="420"/>
              <w:rPr>
                <w:b/>
                <w:color w:val="002060"/>
              </w:rPr>
            </w:pPr>
          </w:p>
          <w:p w14:paraId="3D2360CD" w14:textId="77777777" w:rsidR="00046593" w:rsidRDefault="00046593" w:rsidP="001C2470">
            <w:pPr>
              <w:pStyle w:val="Default"/>
              <w:ind w:left="420"/>
              <w:rPr>
                <w:b/>
                <w:color w:val="002060"/>
              </w:rPr>
            </w:pPr>
            <w:r>
              <w:rPr>
                <w:b/>
                <w:color w:val="002060"/>
              </w:rPr>
              <w:t xml:space="preserve">Additional Arrangements for </w:t>
            </w:r>
            <w:proofErr w:type="gramStart"/>
            <w:r>
              <w:rPr>
                <w:b/>
                <w:color w:val="002060"/>
              </w:rPr>
              <w:t>Applicants :</w:t>
            </w:r>
            <w:proofErr w:type="gramEnd"/>
            <w:r>
              <w:rPr>
                <w:b/>
                <w:color w:val="002060"/>
              </w:rPr>
              <w:t xml:space="preserve"> Informal enquiries and details of arrangements to visit the department regarding this post will be welcome by:</w:t>
            </w:r>
          </w:p>
        </w:tc>
      </w:tr>
      <w:tr w:rsidR="00046593" w14:paraId="41508BAF" w14:textId="77777777" w:rsidTr="00046593">
        <w:trPr>
          <w:trHeight w:val="165"/>
        </w:trPr>
        <w:tc>
          <w:tcPr>
            <w:tcW w:w="1956" w:type="dxa"/>
            <w:shd w:val="clear" w:color="auto" w:fill="DDD9C3"/>
          </w:tcPr>
          <w:p w14:paraId="317E4A61" w14:textId="77777777" w:rsidR="00046593" w:rsidRDefault="00046593" w:rsidP="001C2470">
            <w:pPr>
              <w:pStyle w:val="Default"/>
              <w:ind w:left="420" w:hanging="392"/>
              <w:rPr>
                <w:b/>
                <w:color w:val="002060"/>
              </w:rPr>
            </w:pPr>
            <w:r>
              <w:rPr>
                <w:b/>
                <w:color w:val="002060"/>
              </w:rPr>
              <w:t xml:space="preserve">Name </w:t>
            </w:r>
          </w:p>
        </w:tc>
        <w:tc>
          <w:tcPr>
            <w:tcW w:w="2268" w:type="dxa"/>
            <w:shd w:val="clear" w:color="auto" w:fill="DDD9C3"/>
          </w:tcPr>
          <w:p w14:paraId="54F8478D" w14:textId="77777777" w:rsidR="00046593" w:rsidRDefault="00046593" w:rsidP="001C2470">
            <w:pPr>
              <w:pStyle w:val="Default"/>
              <w:ind w:left="420" w:hanging="387"/>
              <w:rPr>
                <w:b/>
                <w:color w:val="002060"/>
              </w:rPr>
            </w:pPr>
            <w:r>
              <w:rPr>
                <w:b/>
                <w:color w:val="002060"/>
              </w:rPr>
              <w:t xml:space="preserve">Job Title </w:t>
            </w:r>
          </w:p>
        </w:tc>
        <w:tc>
          <w:tcPr>
            <w:tcW w:w="4155" w:type="dxa"/>
            <w:shd w:val="clear" w:color="auto" w:fill="DDD9C3"/>
          </w:tcPr>
          <w:p w14:paraId="53DDBDAB" w14:textId="77777777" w:rsidR="00046593" w:rsidRDefault="00046593" w:rsidP="001C2470">
            <w:pPr>
              <w:pStyle w:val="Default"/>
              <w:ind w:left="-25" w:firstLine="25"/>
              <w:rPr>
                <w:b/>
                <w:color w:val="002060"/>
              </w:rPr>
            </w:pPr>
            <w:r>
              <w:rPr>
                <w:b/>
                <w:color w:val="002060"/>
              </w:rPr>
              <w:t xml:space="preserve">Email </w:t>
            </w:r>
          </w:p>
        </w:tc>
        <w:tc>
          <w:tcPr>
            <w:tcW w:w="1969" w:type="dxa"/>
            <w:shd w:val="clear" w:color="auto" w:fill="DDD9C3"/>
          </w:tcPr>
          <w:p w14:paraId="7CC233F7" w14:textId="77777777" w:rsidR="00046593" w:rsidRDefault="00046593" w:rsidP="001C2470">
            <w:pPr>
              <w:pStyle w:val="Default"/>
              <w:ind w:left="117"/>
              <w:rPr>
                <w:b/>
                <w:color w:val="002060"/>
              </w:rPr>
            </w:pPr>
            <w:r>
              <w:rPr>
                <w:b/>
                <w:color w:val="002060"/>
              </w:rPr>
              <w:t xml:space="preserve">Telephone </w:t>
            </w:r>
          </w:p>
        </w:tc>
      </w:tr>
      <w:tr w:rsidR="00046593" w14:paraId="73058CB2" w14:textId="77777777" w:rsidTr="00046593">
        <w:trPr>
          <w:trHeight w:val="728"/>
        </w:trPr>
        <w:tc>
          <w:tcPr>
            <w:tcW w:w="1956" w:type="dxa"/>
          </w:tcPr>
          <w:p w14:paraId="4A0B8347" w14:textId="77777777" w:rsidR="00046593" w:rsidRPr="00046593" w:rsidRDefault="00046593" w:rsidP="001C2470">
            <w:pPr>
              <w:pStyle w:val="Default"/>
              <w:ind w:left="28"/>
              <w:rPr>
                <w:b/>
                <w:color w:val="002060"/>
              </w:rPr>
            </w:pPr>
            <w:r w:rsidRPr="00046593">
              <w:rPr>
                <w:b/>
                <w:color w:val="002060"/>
              </w:rPr>
              <w:t xml:space="preserve">Dr Ravi </w:t>
            </w:r>
            <w:proofErr w:type="spellStart"/>
            <w:r w:rsidRPr="00046593">
              <w:rPr>
                <w:b/>
                <w:color w:val="002060"/>
              </w:rPr>
              <w:t>Jamdar</w:t>
            </w:r>
            <w:proofErr w:type="spellEnd"/>
          </w:p>
        </w:tc>
        <w:tc>
          <w:tcPr>
            <w:tcW w:w="2268" w:type="dxa"/>
          </w:tcPr>
          <w:p w14:paraId="36B8184E" w14:textId="77777777" w:rsidR="00046593" w:rsidRPr="00046593" w:rsidRDefault="00046593" w:rsidP="001C2470">
            <w:pPr>
              <w:pStyle w:val="Default"/>
              <w:ind w:left="74"/>
              <w:rPr>
                <w:b/>
                <w:color w:val="002060"/>
              </w:rPr>
            </w:pPr>
            <w:r w:rsidRPr="00046593">
              <w:rPr>
                <w:b/>
                <w:color w:val="002060"/>
              </w:rPr>
              <w:t>Lead Clinician</w:t>
            </w:r>
          </w:p>
        </w:tc>
        <w:tc>
          <w:tcPr>
            <w:tcW w:w="4155" w:type="dxa"/>
          </w:tcPr>
          <w:p w14:paraId="4F893630" w14:textId="77777777" w:rsidR="00046593" w:rsidRPr="00046593" w:rsidRDefault="00046593" w:rsidP="001C2470">
            <w:pPr>
              <w:pStyle w:val="Default"/>
              <w:ind w:left="-25" w:firstLine="25"/>
              <w:rPr>
                <w:b/>
                <w:color w:val="002060"/>
              </w:rPr>
            </w:pPr>
            <w:r w:rsidRPr="00046593">
              <w:rPr>
                <w:b/>
                <w:color w:val="002060"/>
              </w:rPr>
              <w:t>Ravi.Jamdar@ggc.scot.nhs.uk</w:t>
            </w:r>
          </w:p>
        </w:tc>
        <w:tc>
          <w:tcPr>
            <w:tcW w:w="1969" w:type="dxa"/>
          </w:tcPr>
          <w:p w14:paraId="5DF09EB6" w14:textId="77777777" w:rsidR="00046593" w:rsidRPr="00046593" w:rsidRDefault="00046593" w:rsidP="001C2470">
            <w:pPr>
              <w:pStyle w:val="Default"/>
              <w:ind w:left="117"/>
              <w:rPr>
                <w:b/>
                <w:color w:val="002060"/>
              </w:rPr>
            </w:pPr>
            <w:r w:rsidRPr="00046593">
              <w:rPr>
                <w:b/>
                <w:color w:val="002060"/>
              </w:rPr>
              <w:t>0141 414 6645</w:t>
            </w:r>
          </w:p>
        </w:tc>
      </w:tr>
    </w:tbl>
    <w:p w14:paraId="03B62600" w14:textId="77777777" w:rsidR="00C92639" w:rsidRPr="008A52ED" w:rsidRDefault="00C92639"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 xml:space="preserve">a biometric residence </w:t>
      </w:r>
      <w:proofErr w:type="gramStart"/>
      <w:r w:rsidRPr="00F913E1">
        <w:rPr>
          <w:rFonts w:ascii="Arial" w:hAnsi="Arial" w:cs="Arial"/>
          <w:i/>
          <w:iCs/>
          <w:color w:val="002060"/>
          <w:sz w:val="20"/>
          <w:szCs w:val="22"/>
          <w:bdr w:val="none" w:sz="0" w:space="0" w:color="auto" w:frame="1"/>
        </w:rPr>
        <w:t>permit</w:t>
      </w:r>
      <w:proofErr w:type="gramEnd"/>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lastRenderedPageBreak/>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lastRenderedPageBreak/>
        <w:t>Section 2:</w:t>
      </w:r>
    </w:p>
    <w:p w14:paraId="096EBC25" w14:textId="77777777" w:rsidR="00D21ACC" w:rsidRDefault="00D21ACC" w:rsidP="008A52ED">
      <w:pPr>
        <w:rPr>
          <w:rFonts w:ascii="Arial" w:hAnsi="Arial" w:cs="Arial"/>
          <w:b/>
          <w:bCs/>
          <w:color w:val="002060"/>
          <w:sz w:val="32"/>
          <w:szCs w:val="32"/>
        </w:rPr>
      </w:pPr>
    </w:p>
    <w:p w14:paraId="1BBF22B4" w14:textId="77777777" w:rsidR="00046593" w:rsidRPr="00046593" w:rsidRDefault="00046593" w:rsidP="00046593">
      <w:pPr>
        <w:kinsoku w:val="0"/>
        <w:overflowPunct w:val="0"/>
        <w:rPr>
          <w:rFonts w:ascii="Arial" w:hAnsi="Arial" w:cs="Arial"/>
          <w:b/>
          <w:bCs/>
          <w:color w:val="002060"/>
          <w:sz w:val="22"/>
          <w:szCs w:val="22"/>
        </w:rPr>
      </w:pPr>
      <w:r w:rsidRPr="00046593">
        <w:rPr>
          <w:rFonts w:ascii="Arial" w:hAnsi="Arial" w:cs="Arial"/>
          <w:bCs/>
          <w:color w:val="002060"/>
          <w:sz w:val="22"/>
          <w:szCs w:val="22"/>
          <w:u w:val="single"/>
        </w:rPr>
        <w:t>The Department/Specialty – Facilities, Resources and Activity</w:t>
      </w:r>
    </w:p>
    <w:p w14:paraId="0EA322AB" w14:textId="77777777" w:rsidR="00046593" w:rsidRPr="00046593" w:rsidRDefault="00046593" w:rsidP="00046593">
      <w:pPr>
        <w:kinsoku w:val="0"/>
        <w:overflowPunct w:val="0"/>
        <w:rPr>
          <w:rFonts w:ascii="Arial" w:hAnsi="Arial" w:cs="Arial"/>
          <w:bCs/>
          <w:color w:val="002060"/>
          <w:sz w:val="22"/>
          <w:szCs w:val="22"/>
        </w:rPr>
      </w:pPr>
    </w:p>
    <w:p w14:paraId="2375B458" w14:textId="77777777" w:rsidR="00046593" w:rsidRPr="00046593" w:rsidRDefault="00046593" w:rsidP="00046593">
      <w:pPr>
        <w:pStyle w:val="Heading1"/>
        <w:ind w:hanging="468"/>
        <w:rPr>
          <w:color w:val="002060"/>
          <w:sz w:val="22"/>
          <w:szCs w:val="22"/>
        </w:rPr>
      </w:pPr>
      <w:r w:rsidRPr="00046593">
        <w:rPr>
          <w:color w:val="002060"/>
          <w:sz w:val="22"/>
          <w:szCs w:val="22"/>
        </w:rPr>
        <w:t>Health Board</w:t>
      </w:r>
    </w:p>
    <w:p w14:paraId="75944C9D" w14:textId="77777777" w:rsidR="00046593" w:rsidRPr="00046593" w:rsidRDefault="00046593" w:rsidP="00046593">
      <w:pPr>
        <w:rPr>
          <w:rFonts w:ascii="Arial" w:hAnsi="Arial" w:cs="Arial"/>
          <w:color w:val="002060"/>
          <w:sz w:val="22"/>
          <w:szCs w:val="22"/>
          <w:lang w:val="en-US"/>
        </w:rPr>
      </w:pPr>
      <w:r w:rsidRPr="00046593">
        <w:rPr>
          <w:rFonts w:ascii="Arial" w:hAnsi="Arial" w:cs="Arial"/>
          <w:color w:val="002060"/>
          <w:sz w:val="22"/>
          <w:szCs w:val="22"/>
          <w:lang w:val="en-US"/>
        </w:rPr>
        <w:t xml:space="preserve">NHS Greater Glasgow and Clyde </w:t>
      </w:r>
      <w:r w:rsidRPr="00046593">
        <w:rPr>
          <w:rFonts w:ascii="Arial" w:hAnsi="Arial" w:cs="Arial"/>
          <w:color w:val="002060"/>
          <w:sz w:val="22"/>
          <w:szCs w:val="22"/>
        </w:rPr>
        <w:t>is the largest health board in Scotland</w:t>
      </w:r>
      <w:r w:rsidRPr="00046593">
        <w:rPr>
          <w:rFonts w:ascii="Arial" w:hAnsi="Arial" w:cs="Arial"/>
          <w:color w:val="002060"/>
          <w:sz w:val="22"/>
          <w:szCs w:val="22"/>
          <w:lang w:val="en-US"/>
        </w:rPr>
        <w:t xml:space="preserve"> and serves a population of 1.1 million people. There are 6 hospitals north of the </w:t>
      </w:r>
      <w:proofErr w:type="gramStart"/>
      <w:r w:rsidRPr="00046593">
        <w:rPr>
          <w:rFonts w:ascii="Arial" w:hAnsi="Arial" w:cs="Arial"/>
          <w:color w:val="002060"/>
          <w:sz w:val="22"/>
          <w:szCs w:val="22"/>
          <w:lang w:val="en-US"/>
        </w:rPr>
        <w:t>River</w:t>
      </w:r>
      <w:proofErr w:type="gramEnd"/>
      <w:r w:rsidRPr="00046593">
        <w:rPr>
          <w:rFonts w:ascii="Arial" w:hAnsi="Arial" w:cs="Arial"/>
          <w:color w:val="002060"/>
          <w:sz w:val="22"/>
          <w:szCs w:val="22"/>
          <w:lang w:val="en-US"/>
        </w:rPr>
        <w:t xml:space="preserve"> Clyde, all with teaching responsibilities: Glasgow Royal Infirmary (including Princess Royal Maternity Hospital), New Stobhill Hospital ACH, </w:t>
      </w:r>
      <w:proofErr w:type="spellStart"/>
      <w:r w:rsidRPr="00046593">
        <w:rPr>
          <w:rFonts w:ascii="Arial" w:hAnsi="Arial" w:cs="Arial"/>
          <w:color w:val="002060"/>
          <w:sz w:val="22"/>
          <w:szCs w:val="22"/>
          <w:lang w:val="en-US"/>
        </w:rPr>
        <w:t>Gartnavel</w:t>
      </w:r>
      <w:proofErr w:type="spellEnd"/>
      <w:r w:rsidRPr="00046593">
        <w:rPr>
          <w:rFonts w:ascii="Arial" w:hAnsi="Arial" w:cs="Arial"/>
          <w:color w:val="002060"/>
          <w:sz w:val="22"/>
          <w:szCs w:val="22"/>
          <w:lang w:val="en-US"/>
        </w:rPr>
        <w:t xml:space="preserve"> General Hospital, Glasgow Dental Hospital and School, Drumchapel Hospital and Lightburn Hospital. Three hospitals are situated </w:t>
      </w:r>
      <w:proofErr w:type="gramStart"/>
      <w:r w:rsidRPr="00046593">
        <w:rPr>
          <w:rFonts w:ascii="Arial" w:hAnsi="Arial" w:cs="Arial"/>
          <w:color w:val="002060"/>
          <w:sz w:val="22"/>
          <w:szCs w:val="22"/>
          <w:lang w:val="en-US"/>
        </w:rPr>
        <w:t>in</w:t>
      </w:r>
      <w:proofErr w:type="gramEnd"/>
      <w:r w:rsidRPr="00046593">
        <w:rPr>
          <w:rFonts w:ascii="Arial" w:hAnsi="Arial" w:cs="Arial"/>
          <w:color w:val="002060"/>
          <w:sz w:val="22"/>
          <w:szCs w:val="22"/>
          <w:lang w:val="en-US"/>
        </w:rPr>
        <w:t xml:space="preserve"> the south side of the city: South Glasgow University Hospital, Victoria Infirmary </w:t>
      </w:r>
      <w:proofErr w:type="gramStart"/>
      <w:r w:rsidRPr="00046593">
        <w:rPr>
          <w:rFonts w:ascii="Arial" w:hAnsi="Arial" w:cs="Arial"/>
          <w:color w:val="002060"/>
          <w:sz w:val="22"/>
          <w:szCs w:val="22"/>
          <w:lang w:val="en-US"/>
        </w:rPr>
        <w:t>ACH</w:t>
      </w:r>
      <w:proofErr w:type="gramEnd"/>
      <w:r w:rsidRPr="00046593">
        <w:rPr>
          <w:rFonts w:ascii="Arial" w:hAnsi="Arial" w:cs="Arial"/>
          <w:color w:val="002060"/>
          <w:sz w:val="22"/>
          <w:szCs w:val="22"/>
          <w:lang w:val="en-US"/>
        </w:rPr>
        <w:t xml:space="preserve"> and </w:t>
      </w:r>
      <w:proofErr w:type="spellStart"/>
      <w:r w:rsidRPr="00046593">
        <w:rPr>
          <w:rFonts w:ascii="Arial" w:hAnsi="Arial" w:cs="Arial"/>
          <w:color w:val="002060"/>
          <w:sz w:val="22"/>
          <w:szCs w:val="22"/>
          <w:lang w:val="en-US"/>
        </w:rPr>
        <w:t>Dykebar</w:t>
      </w:r>
      <w:proofErr w:type="spellEnd"/>
      <w:r w:rsidRPr="00046593">
        <w:rPr>
          <w:rFonts w:ascii="Arial" w:hAnsi="Arial" w:cs="Arial"/>
          <w:color w:val="002060"/>
          <w:sz w:val="22"/>
          <w:szCs w:val="22"/>
          <w:lang w:val="en-US"/>
        </w:rPr>
        <w:t xml:space="preserve"> Hospital. The acute Hospitals sites in Clyde are the Royal Alexandra Hospital, Inverclyde </w:t>
      </w:r>
      <w:proofErr w:type="gramStart"/>
      <w:r w:rsidRPr="00046593">
        <w:rPr>
          <w:rFonts w:ascii="Arial" w:hAnsi="Arial" w:cs="Arial"/>
          <w:color w:val="002060"/>
          <w:sz w:val="22"/>
          <w:szCs w:val="22"/>
          <w:lang w:val="en-US"/>
        </w:rPr>
        <w:t>Hospital</w:t>
      </w:r>
      <w:proofErr w:type="gramEnd"/>
      <w:r w:rsidRPr="00046593">
        <w:rPr>
          <w:rFonts w:ascii="Arial" w:hAnsi="Arial" w:cs="Arial"/>
          <w:color w:val="002060"/>
          <w:sz w:val="22"/>
          <w:szCs w:val="22"/>
          <w:lang w:val="en-US"/>
        </w:rPr>
        <w:t xml:space="preserve"> and the Vale of Leven Hospital.</w:t>
      </w:r>
      <w:r w:rsidRPr="00046593">
        <w:rPr>
          <w:rFonts w:ascii="Arial" w:hAnsi="Arial" w:cs="Arial"/>
          <w:color w:val="002060"/>
          <w:sz w:val="22"/>
          <w:szCs w:val="22"/>
        </w:rPr>
        <w:t xml:space="preserve"> </w:t>
      </w:r>
      <w:r w:rsidRPr="00046593">
        <w:rPr>
          <w:rFonts w:ascii="Arial" w:hAnsi="Arial" w:cs="Arial"/>
          <w:color w:val="002060"/>
          <w:sz w:val="22"/>
          <w:szCs w:val="22"/>
          <w:lang w:val="en-US"/>
        </w:rPr>
        <w:t xml:space="preserve">The Golden Jubilee National Hospital (GJNH) in Clydebank is the setting for the West of Scotland Heart and Lung Centre. The </w:t>
      </w:r>
      <w:proofErr w:type="spellStart"/>
      <w:r w:rsidRPr="00046593">
        <w:rPr>
          <w:rFonts w:ascii="Arial" w:hAnsi="Arial" w:cs="Arial"/>
          <w:color w:val="002060"/>
          <w:sz w:val="22"/>
          <w:szCs w:val="22"/>
          <w:lang w:val="en-US"/>
        </w:rPr>
        <w:t>centre</w:t>
      </w:r>
      <w:proofErr w:type="spellEnd"/>
      <w:r w:rsidRPr="00046593">
        <w:rPr>
          <w:rFonts w:ascii="Arial" w:hAnsi="Arial" w:cs="Arial"/>
          <w:color w:val="002060"/>
          <w:sz w:val="22"/>
          <w:szCs w:val="22"/>
          <w:lang w:val="en-US"/>
        </w:rPr>
        <w:t xml:space="preserve"> </w:t>
      </w:r>
      <w:proofErr w:type="gramStart"/>
      <w:r w:rsidRPr="00046593">
        <w:rPr>
          <w:rFonts w:ascii="Arial" w:hAnsi="Arial" w:cs="Arial"/>
          <w:color w:val="002060"/>
          <w:sz w:val="22"/>
          <w:szCs w:val="22"/>
          <w:lang w:val="en-US"/>
        </w:rPr>
        <w:t>brings together,</w:t>
      </w:r>
      <w:proofErr w:type="gramEnd"/>
      <w:r w:rsidRPr="00046593">
        <w:rPr>
          <w:rFonts w:ascii="Arial" w:hAnsi="Arial" w:cs="Arial"/>
          <w:color w:val="002060"/>
          <w:sz w:val="22"/>
          <w:szCs w:val="22"/>
          <w:lang w:val="en-US"/>
        </w:rPr>
        <w:t xml:space="preserve"> on a single site, cardiothoracic surgical services for the West of Scotland and is the dedicated unit for all interventional cardiology including primary PCI for NHS Greater Glasgow and Clyde and most surrounding Health Boards. </w:t>
      </w:r>
    </w:p>
    <w:p w14:paraId="554C0929" w14:textId="77777777" w:rsidR="00046593" w:rsidRPr="00046593" w:rsidRDefault="00046593" w:rsidP="00046593">
      <w:pPr>
        <w:rPr>
          <w:rFonts w:ascii="Arial" w:hAnsi="Arial" w:cs="Arial"/>
          <w:color w:val="002060"/>
          <w:sz w:val="22"/>
          <w:szCs w:val="22"/>
        </w:rPr>
      </w:pPr>
    </w:p>
    <w:p w14:paraId="610859E9" w14:textId="77777777" w:rsidR="00046593" w:rsidRPr="00046593" w:rsidRDefault="00046593" w:rsidP="00046593">
      <w:pPr>
        <w:rPr>
          <w:rFonts w:ascii="Arial" w:hAnsi="Arial" w:cs="Arial"/>
          <w:b/>
          <w:bCs/>
          <w:color w:val="002060"/>
          <w:sz w:val="22"/>
          <w:szCs w:val="22"/>
          <w:lang w:val="en-US"/>
        </w:rPr>
      </w:pPr>
      <w:r w:rsidRPr="00046593">
        <w:rPr>
          <w:rFonts w:ascii="Arial" w:hAnsi="Arial" w:cs="Arial"/>
          <w:b/>
          <w:bCs/>
          <w:color w:val="002060"/>
          <w:sz w:val="22"/>
          <w:szCs w:val="22"/>
          <w:lang w:val="en-US"/>
        </w:rPr>
        <w:t xml:space="preserve">Acute Services Division </w:t>
      </w:r>
    </w:p>
    <w:p w14:paraId="186E2EB1" w14:textId="77777777" w:rsidR="00046593" w:rsidRPr="00046593" w:rsidRDefault="00046593" w:rsidP="00046593">
      <w:pPr>
        <w:rPr>
          <w:rFonts w:ascii="Arial" w:hAnsi="Arial" w:cs="Arial"/>
          <w:color w:val="002060"/>
          <w:sz w:val="22"/>
          <w:szCs w:val="22"/>
          <w:lang w:val="en-US"/>
        </w:rPr>
      </w:pPr>
      <w:r w:rsidRPr="00046593">
        <w:rPr>
          <w:rFonts w:ascii="Arial" w:hAnsi="Arial" w:cs="Arial"/>
          <w:color w:val="002060"/>
          <w:sz w:val="22"/>
          <w:szCs w:val="22"/>
          <w:lang w:val="en-US"/>
        </w:rPr>
        <w:t xml:space="preserve">The Acute Services Division is the largest group of adult acute hospitals in Scotland. It enjoys close links with Glasgow’s three universities and makes a significant contribution to teaching at both undergraduate and postgraduate level. Research also has a high profile within the </w:t>
      </w:r>
      <w:proofErr w:type="spellStart"/>
      <w:r w:rsidRPr="00046593">
        <w:rPr>
          <w:rFonts w:ascii="Arial" w:hAnsi="Arial" w:cs="Arial"/>
          <w:color w:val="002060"/>
          <w:sz w:val="22"/>
          <w:szCs w:val="22"/>
          <w:lang w:val="en-US"/>
        </w:rPr>
        <w:t>organisation</w:t>
      </w:r>
      <w:proofErr w:type="spellEnd"/>
      <w:r w:rsidRPr="00046593">
        <w:rPr>
          <w:rFonts w:ascii="Arial" w:hAnsi="Arial" w:cs="Arial"/>
          <w:color w:val="002060"/>
          <w:sz w:val="22"/>
          <w:szCs w:val="22"/>
          <w:lang w:val="en-US"/>
        </w:rPr>
        <w:t>. Excellent education facilities are provided at Glasgow Royal Infirmary and the ambulatory care hospital at Stobhill Hospital. The service in North Glasgow presently employs more than 14,300 staff serving a core catchment population of 560,000.</w:t>
      </w:r>
    </w:p>
    <w:p w14:paraId="5601F71E" w14:textId="77777777" w:rsidR="00046593" w:rsidRPr="00046593" w:rsidRDefault="00046593" w:rsidP="00046593">
      <w:pPr>
        <w:rPr>
          <w:rFonts w:ascii="Arial" w:hAnsi="Arial" w:cs="Arial"/>
          <w:color w:val="002060"/>
          <w:sz w:val="22"/>
          <w:szCs w:val="22"/>
          <w:lang w:val="en-US"/>
        </w:rPr>
      </w:pPr>
    </w:p>
    <w:p w14:paraId="24722A4B" w14:textId="77777777" w:rsidR="00046593" w:rsidRPr="00046593" w:rsidRDefault="00046593" w:rsidP="00046593">
      <w:pPr>
        <w:rPr>
          <w:rFonts w:ascii="Arial" w:hAnsi="Arial" w:cs="Arial"/>
          <w:b/>
          <w:color w:val="002060"/>
          <w:sz w:val="22"/>
          <w:szCs w:val="22"/>
          <w:lang w:val="en-US"/>
        </w:rPr>
      </w:pPr>
      <w:r w:rsidRPr="00046593">
        <w:rPr>
          <w:rFonts w:ascii="Arial" w:hAnsi="Arial" w:cs="Arial"/>
          <w:b/>
          <w:color w:val="002060"/>
          <w:sz w:val="22"/>
          <w:szCs w:val="22"/>
          <w:lang w:val="en-US"/>
        </w:rPr>
        <w:t>Glasgow Royal Infirmary (GRI)</w:t>
      </w:r>
    </w:p>
    <w:p w14:paraId="4ACD4468" w14:textId="77777777" w:rsidR="00046593" w:rsidRPr="00046593" w:rsidRDefault="00046593" w:rsidP="00046593">
      <w:pPr>
        <w:rPr>
          <w:rFonts w:ascii="Arial" w:hAnsi="Arial" w:cs="Arial"/>
          <w:color w:val="002060"/>
          <w:sz w:val="22"/>
          <w:szCs w:val="22"/>
        </w:rPr>
      </w:pPr>
      <w:r w:rsidRPr="00046593">
        <w:rPr>
          <w:rFonts w:ascii="Arial" w:hAnsi="Arial" w:cs="Arial"/>
          <w:color w:val="002060"/>
          <w:sz w:val="22"/>
          <w:szCs w:val="22"/>
        </w:rPr>
        <w:t xml:space="preserve">Glasgow Royal Infirmary is one of the major teaching complexes of the University of Glasgow. It provides the Accident and Emergency service for the North and Eastern districts of Glasgow and has inpatient beds in general medicine, medicine for the elderly, general surgery, orthopaedics, plastic surgery and obstetrics and gynaecology. There are also beds in intensive care, high dependency, and coronary care. Following the closure of Stobhill hospital at the end of March 2011 all medical beds, </w:t>
      </w:r>
      <w:proofErr w:type="gramStart"/>
      <w:r w:rsidRPr="00046593">
        <w:rPr>
          <w:rFonts w:ascii="Arial" w:hAnsi="Arial" w:cs="Arial"/>
          <w:color w:val="002060"/>
          <w:sz w:val="22"/>
          <w:szCs w:val="22"/>
        </w:rPr>
        <w:t>with the exception of</w:t>
      </w:r>
      <w:proofErr w:type="gramEnd"/>
      <w:r w:rsidRPr="00046593">
        <w:rPr>
          <w:rFonts w:ascii="Arial" w:hAnsi="Arial" w:cs="Arial"/>
          <w:color w:val="002060"/>
          <w:sz w:val="22"/>
          <w:szCs w:val="22"/>
        </w:rPr>
        <w:t xml:space="preserve"> some rehabilitation and long-stay care of the elderly beds, are on the GRI site. </w:t>
      </w:r>
    </w:p>
    <w:p w14:paraId="3FC6165C" w14:textId="77777777" w:rsidR="00046593" w:rsidRPr="00046593" w:rsidRDefault="00046593" w:rsidP="00046593">
      <w:pPr>
        <w:rPr>
          <w:rFonts w:ascii="Arial" w:hAnsi="Arial" w:cs="Arial"/>
          <w:color w:val="002060"/>
          <w:sz w:val="22"/>
          <w:szCs w:val="22"/>
        </w:rPr>
      </w:pPr>
    </w:p>
    <w:p w14:paraId="2D549353" w14:textId="77777777" w:rsidR="00046593" w:rsidRPr="00046593" w:rsidRDefault="00046593" w:rsidP="00046593">
      <w:pPr>
        <w:rPr>
          <w:rFonts w:ascii="Arial" w:hAnsi="Arial" w:cs="Arial"/>
          <w:color w:val="002060"/>
          <w:sz w:val="22"/>
          <w:szCs w:val="22"/>
        </w:rPr>
      </w:pPr>
      <w:r w:rsidRPr="00046593">
        <w:rPr>
          <w:rFonts w:ascii="Arial" w:hAnsi="Arial" w:cs="Arial"/>
          <w:color w:val="002060"/>
          <w:sz w:val="22"/>
          <w:szCs w:val="22"/>
        </w:rPr>
        <w:t xml:space="preserve">At GRI medical emergencies are admitted through an Acute Assessment Unit (AAU) or through Accident &amp; Emergency (A&amp;E) to an Acute Medicine Unit (AMU). This comprises 5 geographically defined ward areas covered by specific specialty teams – general medical, respiratory, gastroenterology and medicine for the elderly. Where bed availability permits patients with specific conditions will be triaged to the appropriate specialty team </w:t>
      </w:r>
      <w:proofErr w:type="gramStart"/>
      <w:r w:rsidRPr="00046593">
        <w:rPr>
          <w:rFonts w:ascii="Arial" w:hAnsi="Arial" w:cs="Arial"/>
          <w:color w:val="002060"/>
          <w:sz w:val="22"/>
          <w:szCs w:val="22"/>
        </w:rPr>
        <w:t>e.g.</w:t>
      </w:r>
      <w:proofErr w:type="gramEnd"/>
      <w:r w:rsidRPr="00046593">
        <w:rPr>
          <w:rFonts w:ascii="Arial" w:hAnsi="Arial" w:cs="Arial"/>
          <w:color w:val="002060"/>
          <w:sz w:val="22"/>
          <w:szCs w:val="22"/>
        </w:rPr>
        <w:t xml:space="preserve"> patient with GI bleed to gastroenterology area. 5 consultant physicians take part in acute receiving each day in the AMU with morning and evening ward rounds. In </w:t>
      </w:r>
      <w:proofErr w:type="gramStart"/>
      <w:r w:rsidRPr="00046593">
        <w:rPr>
          <w:rFonts w:ascii="Arial" w:hAnsi="Arial" w:cs="Arial"/>
          <w:color w:val="002060"/>
          <w:sz w:val="22"/>
          <w:szCs w:val="22"/>
        </w:rPr>
        <w:t>addition</w:t>
      </w:r>
      <w:proofErr w:type="gramEnd"/>
      <w:r w:rsidRPr="00046593">
        <w:rPr>
          <w:rFonts w:ascii="Arial" w:hAnsi="Arial" w:cs="Arial"/>
          <w:color w:val="002060"/>
          <w:sz w:val="22"/>
          <w:szCs w:val="22"/>
        </w:rPr>
        <w:t xml:space="preserve"> there is a gastroenterology consult service. There is a 40 bedded cardiology ward (ward 43) with 20 acute cardiology beds and a coronary care unit (CCU). Those needing admission for a primary cardiological problem go from AAU or A&amp;E to the acute cardiology beds in ward 43. The cardiologists also provide a daily consult service to patients needing review but in the AMU.</w:t>
      </w:r>
    </w:p>
    <w:p w14:paraId="20A4B112" w14:textId="77777777" w:rsidR="00046593" w:rsidRPr="00046593" w:rsidRDefault="00046593" w:rsidP="00046593">
      <w:pPr>
        <w:rPr>
          <w:rFonts w:ascii="Arial" w:hAnsi="Arial" w:cs="Arial"/>
          <w:color w:val="002060"/>
          <w:sz w:val="22"/>
          <w:szCs w:val="22"/>
        </w:rPr>
      </w:pPr>
      <w:r w:rsidRPr="00046593">
        <w:rPr>
          <w:rFonts w:ascii="Arial" w:hAnsi="Arial" w:cs="Arial"/>
          <w:color w:val="002060"/>
          <w:sz w:val="22"/>
          <w:szCs w:val="22"/>
        </w:rPr>
        <w:t>Acute admissions to medicine range from 55 to 80 per day. Patients requiring a short stay will be discharged from AMU/acute cardiology beds. Those requiring longer stays are transferred ‘downstream’ to medical wards (</w:t>
      </w:r>
      <w:proofErr w:type="spellStart"/>
      <w:r w:rsidRPr="00046593">
        <w:rPr>
          <w:rFonts w:ascii="Arial" w:hAnsi="Arial" w:cs="Arial"/>
          <w:color w:val="002060"/>
          <w:sz w:val="22"/>
          <w:szCs w:val="22"/>
        </w:rPr>
        <w:t>non acute</w:t>
      </w:r>
      <w:proofErr w:type="spellEnd"/>
      <w:r w:rsidRPr="00046593">
        <w:rPr>
          <w:rFonts w:ascii="Arial" w:hAnsi="Arial" w:cs="Arial"/>
          <w:color w:val="002060"/>
          <w:sz w:val="22"/>
          <w:szCs w:val="22"/>
        </w:rPr>
        <w:t xml:space="preserve"> cardiology bed in ward 43 for cardiological problem). These ‘downstream’ medical wards are split into specialty units. 4 specialty units have primary responsibility to general (internal) medicine, namely, Respiratory Medicine, Rheumatology, Gastroenterology and Diabetes and Endocrinology. Consultants from the department of medicine for the elderly (DOME) contribute to receiving duties, but also have </w:t>
      </w:r>
      <w:proofErr w:type="gramStart"/>
      <w:r w:rsidRPr="00046593">
        <w:rPr>
          <w:rFonts w:ascii="Arial" w:hAnsi="Arial" w:cs="Arial"/>
          <w:color w:val="002060"/>
          <w:sz w:val="22"/>
          <w:szCs w:val="22"/>
        </w:rPr>
        <w:t>a number of</w:t>
      </w:r>
      <w:proofErr w:type="gramEnd"/>
      <w:r w:rsidRPr="00046593">
        <w:rPr>
          <w:rFonts w:ascii="Arial" w:hAnsi="Arial" w:cs="Arial"/>
          <w:color w:val="002060"/>
          <w:sz w:val="22"/>
          <w:szCs w:val="22"/>
        </w:rPr>
        <w:t xml:space="preserve"> inpatient wards in Glasgow Royal Infirmary with additional beds at Lightburn Hospital and Stobhill Hospital. There are 38 acute stroke beds in GRI at present; GRI has provided stroke thrombolysis with 5 hyperacute stroke beds since September 2015. </w:t>
      </w:r>
    </w:p>
    <w:p w14:paraId="6929B1D0" w14:textId="77777777" w:rsidR="00046593" w:rsidRPr="00046593" w:rsidRDefault="00046593" w:rsidP="00046593">
      <w:pPr>
        <w:rPr>
          <w:rFonts w:ascii="Arial" w:hAnsi="Arial" w:cs="Arial"/>
          <w:b/>
          <w:color w:val="002060"/>
          <w:sz w:val="22"/>
          <w:szCs w:val="22"/>
        </w:rPr>
      </w:pPr>
    </w:p>
    <w:p w14:paraId="7F977431" w14:textId="77777777" w:rsidR="00046593" w:rsidRPr="00046593" w:rsidRDefault="00046593" w:rsidP="00046593">
      <w:pPr>
        <w:rPr>
          <w:rFonts w:ascii="Arial" w:hAnsi="Arial" w:cs="Arial"/>
          <w:b/>
          <w:color w:val="002060"/>
          <w:sz w:val="22"/>
          <w:szCs w:val="22"/>
        </w:rPr>
      </w:pPr>
      <w:r w:rsidRPr="00046593">
        <w:rPr>
          <w:rFonts w:ascii="Arial" w:hAnsi="Arial" w:cs="Arial"/>
          <w:b/>
          <w:color w:val="002060"/>
          <w:sz w:val="22"/>
          <w:szCs w:val="22"/>
        </w:rPr>
        <w:lastRenderedPageBreak/>
        <w:t>Acute Medicine</w:t>
      </w:r>
    </w:p>
    <w:p w14:paraId="705170C3" w14:textId="77777777" w:rsidR="00046593" w:rsidRPr="00046593" w:rsidRDefault="00046593" w:rsidP="00046593">
      <w:pPr>
        <w:rPr>
          <w:rFonts w:ascii="Arial" w:hAnsi="Arial" w:cs="Arial"/>
          <w:color w:val="002060"/>
          <w:sz w:val="22"/>
          <w:szCs w:val="22"/>
        </w:rPr>
      </w:pPr>
      <w:r w:rsidRPr="00046593">
        <w:rPr>
          <w:rFonts w:ascii="Arial" w:hAnsi="Arial" w:cs="Arial"/>
          <w:color w:val="002060"/>
          <w:sz w:val="22"/>
          <w:szCs w:val="22"/>
        </w:rPr>
        <w:t xml:space="preserve">A 32 bedded AAU has been established next to the A &amp; E Department. Patients referred by general practitioners are assessed in this unit before formal admission. There is also a short-stay facility in ward 46. There are strong links with A&amp;E, and a range of services supporting Acute Medicine, including imaging and laboratory services, an outpatient DVT service, and early supported discharge for COPD which was pioneered at GRI. There </w:t>
      </w:r>
      <w:proofErr w:type="gramStart"/>
      <w:r w:rsidRPr="00046593">
        <w:rPr>
          <w:rFonts w:ascii="Arial" w:hAnsi="Arial" w:cs="Arial"/>
          <w:color w:val="002060"/>
          <w:sz w:val="22"/>
          <w:szCs w:val="22"/>
        </w:rPr>
        <w:t>are</w:t>
      </w:r>
      <w:proofErr w:type="gramEnd"/>
      <w:r w:rsidRPr="00046593">
        <w:rPr>
          <w:rFonts w:ascii="Arial" w:hAnsi="Arial" w:cs="Arial"/>
          <w:color w:val="002060"/>
          <w:sz w:val="22"/>
          <w:szCs w:val="22"/>
        </w:rPr>
        <w:t xml:space="preserve"> well developed plan to expand Ambulatory Emergency Care in a purpose built facility and co-locate surgical assessment facilities.  </w:t>
      </w:r>
    </w:p>
    <w:p w14:paraId="7F5FD781" w14:textId="77777777" w:rsidR="00046593" w:rsidRPr="00046593" w:rsidRDefault="00046593" w:rsidP="00046593">
      <w:pPr>
        <w:rPr>
          <w:rFonts w:ascii="Arial" w:hAnsi="Arial" w:cs="Arial"/>
          <w:color w:val="002060"/>
          <w:sz w:val="22"/>
          <w:szCs w:val="22"/>
        </w:rPr>
      </w:pPr>
    </w:p>
    <w:p w14:paraId="1ADB7B02" w14:textId="77777777" w:rsidR="00046593" w:rsidRPr="00046593" w:rsidRDefault="00046593" w:rsidP="00046593">
      <w:pPr>
        <w:rPr>
          <w:rFonts w:ascii="Arial" w:hAnsi="Arial" w:cs="Arial"/>
          <w:color w:val="002060"/>
          <w:sz w:val="22"/>
          <w:szCs w:val="22"/>
        </w:rPr>
      </w:pPr>
      <w:r w:rsidRPr="00046593">
        <w:rPr>
          <w:rFonts w:ascii="Arial" w:hAnsi="Arial" w:cs="Arial"/>
          <w:color w:val="002060"/>
          <w:sz w:val="22"/>
          <w:szCs w:val="22"/>
        </w:rPr>
        <w:t>The AMU is based in wards 50-53, in the Jubilee Building, which opened in 2001, and is located above the A&amp;E. There are currently 68 in-patient beds, dealing with nearly 23,000 emergency medical admissions per year. These beds are divided into areas for general medicine, DOME, stroke, respiratory medicine, and acute medicine. A range of disease-specific protocols are in use, in keeping with a modern AMU, and the unit access to bedside ultrasound for vascular access and screening for pleural or peritoneal aspiration.  Non-invasive ventilation is available on the unit. A Medical High Dependency Unit (HDU) opened in July 2011.  This unit has recently expanded to 14 beds during the COVID pandemic and beyond.</w:t>
      </w:r>
      <w:r w:rsidRPr="00046593" w:rsidDel="00E257F6">
        <w:rPr>
          <w:rFonts w:ascii="Arial" w:hAnsi="Arial" w:cs="Arial"/>
          <w:color w:val="002060"/>
          <w:sz w:val="22"/>
          <w:szCs w:val="22"/>
        </w:rPr>
        <w:t xml:space="preserve"> </w:t>
      </w:r>
    </w:p>
    <w:p w14:paraId="710ABB0A" w14:textId="77777777" w:rsidR="00046593" w:rsidRPr="00046593" w:rsidRDefault="00046593" w:rsidP="00046593">
      <w:pPr>
        <w:rPr>
          <w:rFonts w:ascii="Arial" w:hAnsi="Arial" w:cs="Arial"/>
          <w:color w:val="002060"/>
          <w:sz w:val="22"/>
          <w:szCs w:val="22"/>
        </w:rPr>
      </w:pPr>
    </w:p>
    <w:p w14:paraId="43B65B21" w14:textId="77777777" w:rsidR="00046593" w:rsidRPr="00046593" w:rsidRDefault="00046593" w:rsidP="00046593">
      <w:pPr>
        <w:rPr>
          <w:rFonts w:ascii="Arial" w:hAnsi="Arial" w:cs="Arial"/>
          <w:color w:val="002060"/>
          <w:sz w:val="22"/>
          <w:szCs w:val="22"/>
        </w:rPr>
      </w:pPr>
      <w:r w:rsidRPr="00046593">
        <w:rPr>
          <w:rFonts w:ascii="Arial" w:hAnsi="Arial" w:cs="Arial"/>
          <w:color w:val="002060"/>
          <w:sz w:val="22"/>
          <w:szCs w:val="22"/>
        </w:rPr>
        <w:t xml:space="preserve">GRI has traditionally been a training site for Acute Medicine specialty trainees and is able to offer a full range of training in keeping with guidelines. There is a weekly departmental meeting. The unit is staffed by a full complement of junior doctors (FY1, FY2, CMT, ACCS, GPST), Case Managers, Acute Medicine trainees and on-call medical Specialty </w:t>
      </w:r>
      <w:proofErr w:type="gramStart"/>
      <w:r w:rsidRPr="00046593">
        <w:rPr>
          <w:rFonts w:ascii="Arial" w:hAnsi="Arial" w:cs="Arial"/>
          <w:color w:val="002060"/>
          <w:sz w:val="22"/>
          <w:szCs w:val="22"/>
        </w:rPr>
        <w:t>trainees, and</w:t>
      </w:r>
      <w:proofErr w:type="gramEnd"/>
      <w:r w:rsidRPr="00046593">
        <w:rPr>
          <w:rFonts w:ascii="Arial" w:hAnsi="Arial" w:cs="Arial"/>
          <w:color w:val="002060"/>
          <w:sz w:val="22"/>
          <w:szCs w:val="22"/>
        </w:rPr>
        <w:t xml:space="preserve"> participates in Hospital at Night. </w:t>
      </w:r>
    </w:p>
    <w:p w14:paraId="45D2DB6D" w14:textId="77777777" w:rsidR="00046593" w:rsidRPr="00046593" w:rsidRDefault="00046593" w:rsidP="00046593">
      <w:pPr>
        <w:rPr>
          <w:rFonts w:ascii="Arial" w:hAnsi="Arial" w:cs="Arial"/>
          <w:color w:val="002060"/>
          <w:sz w:val="22"/>
          <w:szCs w:val="22"/>
        </w:rPr>
      </w:pPr>
    </w:p>
    <w:p w14:paraId="4538C7A7" w14:textId="77777777" w:rsidR="00046593" w:rsidRPr="00046593" w:rsidRDefault="00046593" w:rsidP="00046593">
      <w:pPr>
        <w:rPr>
          <w:rFonts w:ascii="Arial" w:hAnsi="Arial" w:cs="Arial"/>
          <w:b/>
          <w:color w:val="002060"/>
          <w:sz w:val="22"/>
          <w:szCs w:val="22"/>
        </w:rPr>
      </w:pPr>
      <w:r w:rsidRPr="00046593">
        <w:rPr>
          <w:rFonts w:ascii="Arial" w:hAnsi="Arial" w:cs="Arial"/>
          <w:b/>
          <w:color w:val="002060"/>
          <w:sz w:val="22"/>
          <w:szCs w:val="22"/>
        </w:rPr>
        <w:t>Consultant Staffing</w:t>
      </w:r>
    </w:p>
    <w:p w14:paraId="2E503074" w14:textId="77777777" w:rsidR="00046593" w:rsidRPr="00046593" w:rsidRDefault="00046593" w:rsidP="00046593">
      <w:pPr>
        <w:rPr>
          <w:rFonts w:ascii="Arial" w:hAnsi="Arial" w:cs="Arial"/>
          <w:color w:val="002060"/>
          <w:sz w:val="22"/>
          <w:szCs w:val="22"/>
        </w:rPr>
      </w:pPr>
    </w:p>
    <w:p w14:paraId="555FA35D" w14:textId="77777777" w:rsidR="00046593" w:rsidRPr="00046593" w:rsidRDefault="00046593" w:rsidP="00046593">
      <w:pPr>
        <w:rPr>
          <w:rFonts w:ascii="Arial" w:hAnsi="Arial" w:cs="Arial"/>
          <w:color w:val="002060"/>
          <w:sz w:val="22"/>
          <w:szCs w:val="22"/>
        </w:rPr>
      </w:pPr>
      <w:r w:rsidRPr="00046593">
        <w:rPr>
          <w:rFonts w:ascii="Arial" w:hAnsi="Arial" w:cs="Arial"/>
          <w:color w:val="002060"/>
          <w:sz w:val="22"/>
          <w:szCs w:val="22"/>
        </w:rPr>
        <w:t xml:space="preserve">There are 11 Consultants currently with </w:t>
      </w:r>
      <w:proofErr w:type="gramStart"/>
      <w:r w:rsidRPr="00046593">
        <w:rPr>
          <w:rFonts w:ascii="Arial" w:hAnsi="Arial" w:cs="Arial"/>
          <w:color w:val="002060"/>
          <w:sz w:val="22"/>
          <w:szCs w:val="22"/>
        </w:rPr>
        <w:t>day to day</w:t>
      </w:r>
      <w:proofErr w:type="gramEnd"/>
      <w:r w:rsidRPr="00046593">
        <w:rPr>
          <w:rFonts w:ascii="Arial" w:hAnsi="Arial" w:cs="Arial"/>
          <w:color w:val="002060"/>
          <w:sz w:val="22"/>
          <w:szCs w:val="22"/>
        </w:rPr>
        <w:t xml:space="preserve"> commitment to the activities of the AAU, Ward 46, HDU and ward 11. Dr Ravi </w:t>
      </w:r>
      <w:proofErr w:type="spellStart"/>
      <w:r w:rsidRPr="00046593">
        <w:rPr>
          <w:rFonts w:ascii="Arial" w:hAnsi="Arial" w:cs="Arial"/>
          <w:color w:val="002060"/>
          <w:sz w:val="22"/>
          <w:szCs w:val="22"/>
        </w:rPr>
        <w:t>Jamdar</w:t>
      </w:r>
      <w:proofErr w:type="spellEnd"/>
      <w:r w:rsidRPr="00046593">
        <w:rPr>
          <w:rFonts w:ascii="Arial" w:hAnsi="Arial" w:cs="Arial"/>
          <w:color w:val="002060"/>
          <w:sz w:val="22"/>
          <w:szCs w:val="22"/>
        </w:rPr>
        <w:t xml:space="preserve">, Dr Christine Aiken, Dr Hemanth </w:t>
      </w:r>
      <w:proofErr w:type="spellStart"/>
      <w:r w:rsidRPr="00046593">
        <w:rPr>
          <w:rFonts w:ascii="Arial" w:hAnsi="Arial" w:cs="Arial"/>
          <w:color w:val="002060"/>
          <w:sz w:val="22"/>
          <w:szCs w:val="22"/>
        </w:rPr>
        <w:t>Karayi</w:t>
      </w:r>
      <w:proofErr w:type="spellEnd"/>
      <w:r w:rsidRPr="00046593">
        <w:rPr>
          <w:rFonts w:ascii="Arial" w:hAnsi="Arial" w:cs="Arial"/>
          <w:color w:val="002060"/>
          <w:sz w:val="22"/>
          <w:szCs w:val="22"/>
        </w:rPr>
        <w:t xml:space="preserve">, Dr Zoe </w:t>
      </w:r>
      <w:proofErr w:type="spellStart"/>
      <w:r w:rsidRPr="00046593">
        <w:rPr>
          <w:rFonts w:ascii="Arial" w:hAnsi="Arial" w:cs="Arial"/>
          <w:color w:val="002060"/>
          <w:sz w:val="22"/>
          <w:szCs w:val="22"/>
        </w:rPr>
        <w:t>Harzeli</w:t>
      </w:r>
      <w:proofErr w:type="spellEnd"/>
      <w:r w:rsidRPr="00046593">
        <w:rPr>
          <w:rFonts w:ascii="Arial" w:hAnsi="Arial" w:cs="Arial"/>
          <w:color w:val="002060"/>
          <w:sz w:val="22"/>
          <w:szCs w:val="22"/>
        </w:rPr>
        <w:t xml:space="preserve">, Dr Muhammad </w:t>
      </w:r>
      <w:proofErr w:type="spellStart"/>
      <w:r w:rsidRPr="00046593">
        <w:rPr>
          <w:rFonts w:ascii="Arial" w:hAnsi="Arial" w:cs="Arial"/>
          <w:color w:val="002060"/>
          <w:sz w:val="22"/>
          <w:szCs w:val="22"/>
        </w:rPr>
        <w:t>Tholudin</w:t>
      </w:r>
      <w:proofErr w:type="spellEnd"/>
      <w:r w:rsidRPr="00046593">
        <w:rPr>
          <w:rFonts w:ascii="Arial" w:hAnsi="Arial" w:cs="Arial"/>
          <w:color w:val="002060"/>
          <w:sz w:val="22"/>
          <w:szCs w:val="22"/>
        </w:rPr>
        <w:t xml:space="preserve">, Dr Allan Cameron, Dr Daniel Rodgers and Dr Ross </w:t>
      </w:r>
      <w:proofErr w:type="gramStart"/>
      <w:r w:rsidRPr="00046593">
        <w:rPr>
          <w:rFonts w:ascii="Arial" w:hAnsi="Arial" w:cs="Arial"/>
          <w:color w:val="002060"/>
          <w:sz w:val="22"/>
          <w:szCs w:val="22"/>
        </w:rPr>
        <w:t>Paton  work</w:t>
      </w:r>
      <w:proofErr w:type="gramEnd"/>
      <w:r w:rsidRPr="00046593">
        <w:rPr>
          <w:rFonts w:ascii="Arial" w:hAnsi="Arial" w:cs="Arial"/>
          <w:color w:val="002060"/>
          <w:sz w:val="22"/>
          <w:szCs w:val="22"/>
        </w:rPr>
        <w:t xml:space="preserve"> full time and Dr Marc Aitken (joint appointment with Rheumatology). In </w:t>
      </w:r>
      <w:proofErr w:type="gramStart"/>
      <w:r w:rsidRPr="00046593">
        <w:rPr>
          <w:rFonts w:ascii="Arial" w:hAnsi="Arial" w:cs="Arial"/>
          <w:color w:val="002060"/>
          <w:sz w:val="22"/>
          <w:szCs w:val="22"/>
        </w:rPr>
        <w:t>addition</w:t>
      </w:r>
      <w:proofErr w:type="gramEnd"/>
      <w:r w:rsidRPr="00046593">
        <w:rPr>
          <w:rFonts w:ascii="Arial" w:hAnsi="Arial" w:cs="Arial"/>
          <w:color w:val="002060"/>
          <w:sz w:val="22"/>
          <w:szCs w:val="22"/>
        </w:rPr>
        <w:t xml:space="preserve"> Dr Pauline Grose and Dr Sarah Saunders work part time. This post will be based at GRI and will be supporting a period of maternity leave. </w:t>
      </w:r>
    </w:p>
    <w:p w14:paraId="510AFCBA" w14:textId="77777777" w:rsidR="00046593" w:rsidRPr="00046593" w:rsidRDefault="00046593" w:rsidP="00046593">
      <w:pPr>
        <w:rPr>
          <w:rFonts w:ascii="Arial" w:hAnsi="Arial" w:cs="Arial"/>
          <w:color w:val="002060"/>
          <w:sz w:val="22"/>
          <w:szCs w:val="22"/>
        </w:rPr>
      </w:pPr>
    </w:p>
    <w:p w14:paraId="2D8E5286" w14:textId="77777777" w:rsidR="00046593" w:rsidRPr="00046593" w:rsidRDefault="00046593" w:rsidP="00046593">
      <w:pPr>
        <w:rPr>
          <w:rFonts w:ascii="Arial" w:hAnsi="Arial" w:cs="Arial"/>
          <w:color w:val="002060"/>
          <w:sz w:val="22"/>
          <w:szCs w:val="22"/>
        </w:rPr>
      </w:pPr>
      <w:r w:rsidRPr="00046593">
        <w:rPr>
          <w:rFonts w:ascii="Arial" w:hAnsi="Arial" w:cs="Arial"/>
          <w:color w:val="002060"/>
          <w:sz w:val="22"/>
          <w:szCs w:val="22"/>
        </w:rPr>
        <w:t>In addition to the acute physicians Professor Gerry McKay, consultant in Clinical Pharmacology/Acute Medicine also has sessional commitment to acute medicine (1 PA).</w:t>
      </w:r>
    </w:p>
    <w:p w14:paraId="4800A82F" w14:textId="77777777" w:rsidR="00046593" w:rsidRPr="00046593" w:rsidRDefault="00046593" w:rsidP="00046593">
      <w:pPr>
        <w:rPr>
          <w:rFonts w:ascii="Arial" w:hAnsi="Arial" w:cs="Arial"/>
          <w:color w:val="002060"/>
          <w:sz w:val="22"/>
          <w:szCs w:val="22"/>
        </w:rPr>
      </w:pPr>
    </w:p>
    <w:p w14:paraId="5C40F42E" w14:textId="77777777" w:rsidR="00046593" w:rsidRPr="00046593" w:rsidRDefault="00046593" w:rsidP="00046593">
      <w:pPr>
        <w:rPr>
          <w:rFonts w:ascii="Arial" w:hAnsi="Arial" w:cs="Arial"/>
          <w:color w:val="002060"/>
          <w:sz w:val="22"/>
          <w:szCs w:val="22"/>
        </w:rPr>
      </w:pPr>
      <w:r w:rsidRPr="00046593">
        <w:rPr>
          <w:rFonts w:ascii="Arial" w:hAnsi="Arial" w:cs="Arial"/>
          <w:color w:val="002060"/>
          <w:sz w:val="22"/>
          <w:szCs w:val="22"/>
        </w:rPr>
        <w:t xml:space="preserve">As Lead Clinician for acute medicine at GRI Dr Ravi </w:t>
      </w:r>
      <w:proofErr w:type="spellStart"/>
      <w:r w:rsidRPr="00046593">
        <w:rPr>
          <w:rFonts w:ascii="Arial" w:hAnsi="Arial" w:cs="Arial"/>
          <w:color w:val="002060"/>
          <w:sz w:val="22"/>
          <w:szCs w:val="22"/>
        </w:rPr>
        <w:t>Jamdar</w:t>
      </w:r>
      <w:proofErr w:type="spellEnd"/>
      <w:r w:rsidRPr="00046593">
        <w:rPr>
          <w:rFonts w:ascii="Arial" w:hAnsi="Arial" w:cs="Arial"/>
          <w:color w:val="002060"/>
          <w:sz w:val="22"/>
          <w:szCs w:val="22"/>
        </w:rPr>
        <w:t xml:space="preserve"> has clinical managerial responsibility for AAU, medical HDU, wards 46 and 11. </w:t>
      </w:r>
    </w:p>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680F056D" w14:textId="77777777" w:rsidR="00046593" w:rsidRDefault="00046593" w:rsidP="008A52ED">
      <w:pPr>
        <w:rPr>
          <w:rFonts w:ascii="Arial" w:hAnsi="Arial" w:cs="Arial"/>
          <w:b/>
          <w:bCs/>
          <w:color w:val="002060"/>
          <w:sz w:val="32"/>
          <w:szCs w:val="32"/>
        </w:rPr>
      </w:pPr>
    </w:p>
    <w:p w14:paraId="513E8290" w14:textId="77777777" w:rsidR="00046593" w:rsidRDefault="00046593" w:rsidP="008A52ED">
      <w:pPr>
        <w:rPr>
          <w:rFonts w:ascii="Arial" w:hAnsi="Arial" w:cs="Arial"/>
          <w:b/>
          <w:bCs/>
          <w:color w:val="002060"/>
          <w:sz w:val="32"/>
          <w:szCs w:val="32"/>
        </w:rPr>
      </w:pPr>
    </w:p>
    <w:p w14:paraId="023E631A" w14:textId="77777777" w:rsidR="00046593" w:rsidRDefault="00046593" w:rsidP="008A52ED">
      <w:pPr>
        <w:rPr>
          <w:rFonts w:ascii="Arial" w:hAnsi="Arial" w:cs="Arial"/>
          <w:b/>
          <w:bCs/>
          <w:color w:val="002060"/>
          <w:sz w:val="32"/>
          <w:szCs w:val="32"/>
        </w:rPr>
      </w:pPr>
    </w:p>
    <w:p w14:paraId="145EB37C" w14:textId="77777777" w:rsidR="00046593" w:rsidRDefault="00046593" w:rsidP="008A52ED">
      <w:pPr>
        <w:rPr>
          <w:rFonts w:ascii="Arial" w:hAnsi="Arial" w:cs="Arial"/>
          <w:b/>
          <w:bCs/>
          <w:color w:val="002060"/>
          <w:sz w:val="32"/>
          <w:szCs w:val="32"/>
        </w:rPr>
      </w:pPr>
    </w:p>
    <w:p w14:paraId="0E5988BF" w14:textId="77777777" w:rsidR="00046593" w:rsidRDefault="00046593" w:rsidP="008A52ED">
      <w:pPr>
        <w:rPr>
          <w:rFonts w:ascii="Arial" w:hAnsi="Arial" w:cs="Arial"/>
          <w:b/>
          <w:bCs/>
          <w:color w:val="002060"/>
          <w:sz w:val="32"/>
          <w:szCs w:val="32"/>
        </w:rPr>
      </w:pPr>
    </w:p>
    <w:p w14:paraId="6FC03116" w14:textId="77777777" w:rsidR="00046593" w:rsidRDefault="00046593" w:rsidP="008A52ED">
      <w:pPr>
        <w:rPr>
          <w:rFonts w:ascii="Arial" w:hAnsi="Arial" w:cs="Arial"/>
          <w:b/>
          <w:bCs/>
          <w:color w:val="002060"/>
          <w:sz w:val="32"/>
          <w:szCs w:val="32"/>
        </w:rPr>
      </w:pPr>
    </w:p>
    <w:p w14:paraId="09CEE232" w14:textId="77777777" w:rsidR="00046593" w:rsidRDefault="00046593" w:rsidP="008A52ED">
      <w:pPr>
        <w:rPr>
          <w:rFonts w:ascii="Arial" w:hAnsi="Arial" w:cs="Arial"/>
          <w:b/>
          <w:bCs/>
          <w:color w:val="002060"/>
          <w:sz w:val="32"/>
          <w:szCs w:val="32"/>
        </w:rPr>
      </w:pPr>
    </w:p>
    <w:p w14:paraId="012FAB8E" w14:textId="77777777" w:rsidR="00046593" w:rsidRDefault="00046593" w:rsidP="008A52ED">
      <w:pPr>
        <w:rPr>
          <w:rFonts w:ascii="Arial" w:hAnsi="Arial" w:cs="Arial"/>
          <w:b/>
          <w:bCs/>
          <w:color w:val="002060"/>
          <w:sz w:val="32"/>
          <w:szCs w:val="32"/>
        </w:rPr>
      </w:pPr>
    </w:p>
    <w:p w14:paraId="334AAC89" w14:textId="77777777" w:rsidR="00046593" w:rsidRDefault="00046593" w:rsidP="008A52ED">
      <w:pPr>
        <w:rPr>
          <w:rFonts w:ascii="Arial" w:hAnsi="Arial" w:cs="Arial"/>
          <w:b/>
          <w:bCs/>
          <w:color w:val="002060"/>
          <w:sz w:val="32"/>
          <w:szCs w:val="32"/>
        </w:rPr>
      </w:pPr>
    </w:p>
    <w:p w14:paraId="21D3931D" w14:textId="77777777" w:rsidR="00046593" w:rsidRDefault="00046593" w:rsidP="008A52ED">
      <w:pPr>
        <w:rPr>
          <w:rFonts w:ascii="Arial" w:hAnsi="Arial" w:cs="Arial"/>
          <w:b/>
          <w:bCs/>
          <w:color w:val="002060"/>
          <w:sz w:val="32"/>
          <w:szCs w:val="32"/>
        </w:rPr>
      </w:pPr>
    </w:p>
    <w:p w14:paraId="3838841F" w14:textId="52C9C691" w:rsidR="00046593" w:rsidRDefault="00046593" w:rsidP="008A52ED">
      <w:pPr>
        <w:rPr>
          <w:rFonts w:ascii="Arial" w:hAnsi="Arial" w:cs="Arial"/>
          <w:b/>
          <w:bCs/>
          <w:color w:val="002060"/>
          <w:sz w:val="32"/>
          <w:szCs w:val="32"/>
        </w:rPr>
      </w:pPr>
      <w:r>
        <w:rPr>
          <w:rFonts w:ascii="Arial" w:hAnsi="Arial" w:cs="Arial"/>
          <w:b/>
          <w:bCs/>
          <w:color w:val="002060"/>
          <w:sz w:val="32"/>
          <w:szCs w:val="32"/>
        </w:rPr>
        <w:lastRenderedPageBreak/>
        <w:t xml:space="preserve">Section </w:t>
      </w:r>
      <w:r w:rsidR="00BF2B07">
        <w:rPr>
          <w:rFonts w:ascii="Arial" w:hAnsi="Arial" w:cs="Arial"/>
          <w:b/>
          <w:bCs/>
          <w:color w:val="002060"/>
          <w:sz w:val="32"/>
          <w:szCs w:val="32"/>
        </w:rPr>
        <w:t>3</w:t>
      </w:r>
      <w:r w:rsidR="009241F2">
        <w:rPr>
          <w:rFonts w:ascii="Arial" w:hAnsi="Arial" w:cs="Arial"/>
          <w:b/>
          <w:bCs/>
          <w:color w:val="002060"/>
          <w:sz w:val="32"/>
          <w:szCs w:val="32"/>
        </w:rPr>
        <w:t>:</w:t>
      </w:r>
      <w:r w:rsidR="008502BD" w:rsidRPr="008A52ED">
        <w:rPr>
          <w:rFonts w:ascii="Arial" w:hAnsi="Arial" w:cs="Arial"/>
          <w:b/>
          <w:bCs/>
          <w:color w:val="002060"/>
          <w:sz w:val="32"/>
          <w:szCs w:val="32"/>
        </w:rPr>
        <w:tab/>
      </w:r>
    </w:p>
    <w:p w14:paraId="63D175D7" w14:textId="77777777" w:rsidR="00046593" w:rsidRDefault="00046593" w:rsidP="008A52ED">
      <w:pPr>
        <w:rPr>
          <w:rFonts w:ascii="Arial" w:hAnsi="Arial" w:cs="Arial"/>
          <w:b/>
          <w:bCs/>
          <w:color w:val="002060"/>
          <w:sz w:val="32"/>
          <w:szCs w:val="32"/>
        </w:rPr>
      </w:pPr>
    </w:p>
    <w:p w14:paraId="3E021E9C" w14:textId="77777777" w:rsidR="00046593" w:rsidRPr="00046593" w:rsidRDefault="00046593" w:rsidP="00046593">
      <w:pPr>
        <w:kinsoku w:val="0"/>
        <w:overflowPunct w:val="0"/>
        <w:rPr>
          <w:rFonts w:ascii="Arial" w:hAnsi="Arial" w:cs="Arial"/>
          <w:b/>
          <w:bCs/>
          <w:color w:val="002060"/>
          <w:sz w:val="22"/>
          <w:szCs w:val="22"/>
        </w:rPr>
      </w:pPr>
      <w:r w:rsidRPr="00046593">
        <w:rPr>
          <w:rFonts w:ascii="Arial" w:hAnsi="Arial" w:cs="Arial"/>
          <w:b/>
          <w:bCs/>
          <w:color w:val="002060"/>
          <w:sz w:val="22"/>
          <w:szCs w:val="22"/>
        </w:rPr>
        <w:t>Main Duties</w:t>
      </w:r>
    </w:p>
    <w:p w14:paraId="7808DD88" w14:textId="77777777" w:rsidR="00046593" w:rsidRPr="00046593" w:rsidRDefault="00046593" w:rsidP="00046593">
      <w:pPr>
        <w:kinsoku w:val="0"/>
        <w:overflowPunct w:val="0"/>
        <w:rPr>
          <w:rFonts w:ascii="Arial" w:hAnsi="Arial" w:cs="Arial"/>
          <w:bCs/>
          <w:color w:val="002060"/>
          <w:sz w:val="22"/>
          <w:szCs w:val="22"/>
          <w:u w:val="single"/>
        </w:rPr>
      </w:pPr>
      <w:r w:rsidRPr="00046593">
        <w:rPr>
          <w:rFonts w:ascii="Arial" w:hAnsi="Arial" w:cs="Arial"/>
          <w:bCs/>
          <w:color w:val="002060"/>
          <w:sz w:val="22"/>
          <w:szCs w:val="22"/>
          <w:u w:val="single"/>
        </w:rPr>
        <w:t>Clinical and Other Duties</w:t>
      </w:r>
    </w:p>
    <w:p w14:paraId="0727A152" w14:textId="77777777" w:rsidR="00046593" w:rsidRPr="00046593" w:rsidRDefault="00046593" w:rsidP="00046593">
      <w:pPr>
        <w:kinsoku w:val="0"/>
        <w:overflowPunct w:val="0"/>
        <w:rPr>
          <w:rFonts w:ascii="Arial" w:hAnsi="Arial" w:cs="Arial"/>
          <w:bCs/>
          <w:color w:val="002060"/>
          <w:sz w:val="22"/>
          <w:szCs w:val="22"/>
        </w:rPr>
      </w:pPr>
    </w:p>
    <w:p w14:paraId="16648475" w14:textId="77777777" w:rsidR="00046593" w:rsidRPr="00046593" w:rsidRDefault="00046593" w:rsidP="00046593">
      <w:pPr>
        <w:rPr>
          <w:rFonts w:ascii="Arial" w:hAnsi="Arial" w:cs="Arial"/>
          <w:color w:val="002060"/>
          <w:sz w:val="22"/>
          <w:szCs w:val="22"/>
        </w:rPr>
      </w:pPr>
      <w:r w:rsidRPr="00046593">
        <w:rPr>
          <w:rFonts w:ascii="Arial" w:hAnsi="Arial" w:cs="Arial"/>
          <w:color w:val="002060"/>
          <w:sz w:val="22"/>
          <w:szCs w:val="22"/>
        </w:rPr>
        <w:t xml:space="preserve">Together with colleagues, the post holder will provide senior cover for the AAU, Ward 46, ward 11 and the Medical HDU at Glasgow Royal Infirmary, leading activity on the units. </w:t>
      </w:r>
    </w:p>
    <w:p w14:paraId="293A42CA" w14:textId="77777777" w:rsidR="00046593" w:rsidRPr="00046593" w:rsidRDefault="00046593" w:rsidP="00046593">
      <w:pPr>
        <w:rPr>
          <w:rFonts w:ascii="Arial" w:hAnsi="Arial" w:cs="Arial"/>
          <w:color w:val="002060"/>
          <w:sz w:val="22"/>
          <w:szCs w:val="22"/>
        </w:rPr>
      </w:pPr>
    </w:p>
    <w:p w14:paraId="3B210165" w14:textId="77777777" w:rsidR="00046593" w:rsidRPr="00046593" w:rsidRDefault="00046593" w:rsidP="00046593">
      <w:pPr>
        <w:rPr>
          <w:rFonts w:ascii="Arial" w:hAnsi="Arial" w:cs="Arial"/>
          <w:color w:val="002060"/>
          <w:sz w:val="22"/>
          <w:szCs w:val="22"/>
        </w:rPr>
      </w:pPr>
      <w:r w:rsidRPr="00046593">
        <w:rPr>
          <w:rFonts w:ascii="Arial" w:hAnsi="Arial" w:cs="Arial"/>
          <w:color w:val="002060"/>
          <w:sz w:val="22"/>
          <w:szCs w:val="22"/>
        </w:rPr>
        <w:t xml:space="preserve">In addition to assessment of new patients, ward work will include review of patients remaining on ward </w:t>
      </w:r>
      <w:proofErr w:type="gramStart"/>
      <w:r w:rsidRPr="00046593">
        <w:rPr>
          <w:rFonts w:ascii="Arial" w:hAnsi="Arial" w:cs="Arial"/>
          <w:color w:val="002060"/>
          <w:sz w:val="22"/>
          <w:szCs w:val="22"/>
        </w:rPr>
        <w:t>46, and</w:t>
      </w:r>
      <w:proofErr w:type="gramEnd"/>
      <w:r w:rsidRPr="00046593">
        <w:rPr>
          <w:rFonts w:ascii="Arial" w:hAnsi="Arial" w:cs="Arial"/>
          <w:color w:val="002060"/>
          <w:sz w:val="22"/>
          <w:szCs w:val="22"/>
        </w:rPr>
        <w:t xml:space="preserve"> providing ongoing supervision of patients ready to be transferred or discharged, concentrating particularly on those who are unwell or unstable, and to ensure that appropriate patients are discharged home. The aim is to provide rapid senior review of patients admitted by junior medical staff, </w:t>
      </w:r>
      <w:proofErr w:type="gramStart"/>
      <w:r w:rsidRPr="00046593">
        <w:rPr>
          <w:rFonts w:ascii="Arial" w:hAnsi="Arial" w:cs="Arial"/>
          <w:color w:val="002060"/>
          <w:sz w:val="22"/>
          <w:szCs w:val="22"/>
        </w:rPr>
        <w:t>in order to</w:t>
      </w:r>
      <w:proofErr w:type="gramEnd"/>
      <w:r w:rsidRPr="00046593">
        <w:rPr>
          <w:rFonts w:ascii="Arial" w:hAnsi="Arial" w:cs="Arial"/>
          <w:color w:val="002060"/>
          <w:sz w:val="22"/>
          <w:szCs w:val="22"/>
        </w:rPr>
        <w:t xml:space="preserve"> promote timely investigation, management and discharge, and to enhance the educational opportunities by providing early feedback to the junior staff. </w:t>
      </w:r>
    </w:p>
    <w:p w14:paraId="7C3F5A80" w14:textId="77777777" w:rsidR="00046593" w:rsidRPr="00046593" w:rsidRDefault="00046593" w:rsidP="00046593">
      <w:pPr>
        <w:rPr>
          <w:rFonts w:ascii="Arial" w:hAnsi="Arial" w:cs="Arial"/>
          <w:color w:val="002060"/>
          <w:sz w:val="22"/>
          <w:szCs w:val="22"/>
        </w:rPr>
      </w:pPr>
    </w:p>
    <w:p w14:paraId="257FE666" w14:textId="77777777" w:rsidR="00046593" w:rsidRPr="00046593" w:rsidRDefault="00046593" w:rsidP="00046593">
      <w:pPr>
        <w:rPr>
          <w:rFonts w:ascii="Arial" w:hAnsi="Arial" w:cs="Arial"/>
          <w:color w:val="002060"/>
          <w:sz w:val="22"/>
          <w:szCs w:val="22"/>
        </w:rPr>
      </w:pPr>
      <w:r w:rsidRPr="00046593">
        <w:rPr>
          <w:rFonts w:ascii="Arial" w:hAnsi="Arial" w:cs="Arial"/>
          <w:color w:val="002060"/>
          <w:sz w:val="22"/>
          <w:szCs w:val="22"/>
        </w:rPr>
        <w:t xml:space="preserve">The acute medicine physicians have operational responsibility for the Medical HDU. The post holder will be involved in staffing and supervision of the Medical HDU along with acute medicine colleagues and in collaboration with other Physicians. </w:t>
      </w:r>
    </w:p>
    <w:p w14:paraId="36B6A14F" w14:textId="77777777" w:rsidR="00046593" w:rsidRPr="00046593" w:rsidRDefault="00046593" w:rsidP="00046593">
      <w:pPr>
        <w:rPr>
          <w:rFonts w:ascii="Arial" w:hAnsi="Arial" w:cs="Arial"/>
          <w:color w:val="002060"/>
          <w:sz w:val="22"/>
          <w:szCs w:val="22"/>
        </w:rPr>
      </w:pPr>
    </w:p>
    <w:p w14:paraId="17572DC4" w14:textId="77777777" w:rsidR="00046593" w:rsidRPr="00046593" w:rsidRDefault="00046593" w:rsidP="00046593">
      <w:pPr>
        <w:suppressAutoHyphens/>
        <w:rPr>
          <w:rFonts w:ascii="Arial" w:hAnsi="Arial" w:cs="Arial"/>
          <w:color w:val="002060"/>
          <w:spacing w:val="-3"/>
          <w:sz w:val="22"/>
          <w:szCs w:val="22"/>
        </w:rPr>
      </w:pPr>
      <w:r w:rsidRPr="00046593">
        <w:rPr>
          <w:rFonts w:ascii="Arial" w:hAnsi="Arial" w:cs="Arial"/>
          <w:color w:val="002060"/>
          <w:spacing w:val="-3"/>
          <w:sz w:val="22"/>
          <w:szCs w:val="22"/>
        </w:rPr>
        <w:t xml:space="preserve">The post holder will participate in audit and medical specialty </w:t>
      </w:r>
      <w:proofErr w:type="gramStart"/>
      <w:r w:rsidRPr="00046593">
        <w:rPr>
          <w:rFonts w:ascii="Arial" w:hAnsi="Arial" w:cs="Arial"/>
          <w:color w:val="002060"/>
          <w:spacing w:val="-3"/>
          <w:sz w:val="22"/>
          <w:szCs w:val="22"/>
        </w:rPr>
        <w:t>meetings, and</w:t>
      </w:r>
      <w:proofErr w:type="gramEnd"/>
      <w:r w:rsidRPr="00046593">
        <w:rPr>
          <w:rFonts w:ascii="Arial" w:hAnsi="Arial" w:cs="Arial"/>
          <w:color w:val="002060"/>
          <w:spacing w:val="-3"/>
          <w:sz w:val="22"/>
          <w:szCs w:val="22"/>
        </w:rPr>
        <w:t xml:space="preserve"> undertake administrative duties. The appointment is full-time and there will be some requirement for flexible hours in accordance with service needs as they develop.  </w:t>
      </w:r>
    </w:p>
    <w:p w14:paraId="0683786C" w14:textId="77777777" w:rsidR="00046593" w:rsidRPr="00046593" w:rsidRDefault="00046593" w:rsidP="00046593">
      <w:pPr>
        <w:tabs>
          <w:tab w:val="left" w:pos="-720"/>
          <w:tab w:val="left" w:pos="0"/>
        </w:tabs>
        <w:suppressAutoHyphens/>
        <w:ind w:left="720" w:hanging="720"/>
        <w:rPr>
          <w:rFonts w:ascii="Arial" w:hAnsi="Arial" w:cs="Arial"/>
          <w:color w:val="002060"/>
          <w:spacing w:val="-3"/>
          <w:sz w:val="22"/>
          <w:szCs w:val="22"/>
        </w:rPr>
      </w:pPr>
    </w:p>
    <w:p w14:paraId="7CAF6DE5" w14:textId="77777777" w:rsidR="00046593" w:rsidRPr="00046593" w:rsidRDefault="00046593" w:rsidP="00046593">
      <w:pPr>
        <w:rPr>
          <w:rFonts w:ascii="Arial" w:hAnsi="Arial" w:cs="Arial"/>
          <w:color w:val="002060"/>
          <w:sz w:val="22"/>
          <w:szCs w:val="22"/>
        </w:rPr>
      </w:pPr>
      <w:r w:rsidRPr="00046593">
        <w:rPr>
          <w:rFonts w:ascii="Arial" w:hAnsi="Arial" w:cs="Arial"/>
          <w:color w:val="002060"/>
          <w:spacing w:val="-3"/>
          <w:sz w:val="22"/>
          <w:szCs w:val="22"/>
        </w:rPr>
        <w:t xml:space="preserve">Most medical specialities are offered within the hospital. Direct clinical care sessions will include the clinical supervision of the many trainees coming through the unit. It will also include time for clinical administration with all communication from discharges from the </w:t>
      </w:r>
      <w:proofErr w:type="gramStart"/>
      <w:r w:rsidRPr="00046593">
        <w:rPr>
          <w:rFonts w:ascii="Arial" w:hAnsi="Arial" w:cs="Arial"/>
          <w:color w:val="002060"/>
          <w:spacing w:val="-3"/>
          <w:sz w:val="22"/>
          <w:szCs w:val="22"/>
        </w:rPr>
        <w:t>AAU  being</w:t>
      </w:r>
      <w:proofErr w:type="gramEnd"/>
      <w:r w:rsidRPr="00046593">
        <w:rPr>
          <w:rFonts w:ascii="Arial" w:hAnsi="Arial" w:cs="Arial"/>
          <w:color w:val="002060"/>
          <w:spacing w:val="-3"/>
          <w:sz w:val="22"/>
          <w:szCs w:val="22"/>
        </w:rPr>
        <w:t xml:space="preserve"> co-ordinated from there. </w:t>
      </w:r>
      <w:r w:rsidRPr="00046593">
        <w:rPr>
          <w:rFonts w:ascii="Arial" w:hAnsi="Arial" w:cs="Arial"/>
          <w:color w:val="002060"/>
          <w:sz w:val="22"/>
          <w:szCs w:val="22"/>
        </w:rPr>
        <w:t xml:space="preserve">A regular review of the post holder’s job plan will be held to ensure that a satisfactory career pathway is maintained. </w:t>
      </w:r>
    </w:p>
    <w:p w14:paraId="7117DFE7" w14:textId="77777777" w:rsidR="00046593" w:rsidRPr="00046593" w:rsidRDefault="00046593" w:rsidP="00046593">
      <w:pPr>
        <w:rPr>
          <w:rFonts w:ascii="Arial" w:hAnsi="Arial" w:cs="Arial"/>
          <w:color w:val="002060"/>
          <w:sz w:val="22"/>
          <w:szCs w:val="22"/>
        </w:rPr>
      </w:pPr>
    </w:p>
    <w:p w14:paraId="3BF5888B" w14:textId="77777777" w:rsidR="00046593" w:rsidRPr="00046593" w:rsidRDefault="00046593" w:rsidP="00046593">
      <w:pPr>
        <w:rPr>
          <w:rFonts w:ascii="Arial" w:hAnsi="Arial" w:cs="Arial"/>
          <w:color w:val="002060"/>
          <w:sz w:val="22"/>
          <w:szCs w:val="22"/>
        </w:rPr>
      </w:pPr>
      <w:r w:rsidRPr="00046593">
        <w:rPr>
          <w:rFonts w:ascii="Arial" w:hAnsi="Arial" w:cs="Arial"/>
          <w:color w:val="002060"/>
          <w:sz w:val="22"/>
          <w:szCs w:val="22"/>
        </w:rPr>
        <w:t xml:space="preserve">This job plan is negotiable and will be agreed between the successful applicant and the Clinical Director.  NHS Greater Glasgow &amp; Clyde initially allocates all </w:t>
      </w:r>
      <w:proofErr w:type="gramStart"/>
      <w:r w:rsidRPr="00046593">
        <w:rPr>
          <w:rFonts w:ascii="Arial" w:hAnsi="Arial" w:cs="Arial"/>
          <w:color w:val="002060"/>
          <w:sz w:val="22"/>
          <w:szCs w:val="22"/>
        </w:rPr>
        <w:t>full time</w:t>
      </w:r>
      <w:proofErr w:type="gramEnd"/>
      <w:r w:rsidRPr="00046593">
        <w:rPr>
          <w:rFonts w:ascii="Arial" w:hAnsi="Arial" w:cs="Arial"/>
          <w:color w:val="002060"/>
          <w:sz w:val="22"/>
          <w:szCs w:val="22"/>
        </w:rPr>
        <w:t xml:space="preserve"> consultants 10 PAs made up of 9 PAs in Direct Clinical Care (DCC) and one core Supporting Professional Activities (SPA) for CPD, audit, clinical governance, appraisal, revalidation, job planning, internal routine communication and management meetings.  The precise allocation of SPA time and associate objectives will be agreed with the successful applicant and will be reviewed at annual job planning.</w:t>
      </w:r>
    </w:p>
    <w:p w14:paraId="55841E6D" w14:textId="77777777" w:rsidR="00046593" w:rsidRPr="00046593" w:rsidRDefault="00046593" w:rsidP="00046593">
      <w:pPr>
        <w:rPr>
          <w:rFonts w:ascii="Arial" w:hAnsi="Arial" w:cs="Arial"/>
          <w:color w:val="002060"/>
          <w:sz w:val="22"/>
          <w:szCs w:val="22"/>
        </w:rPr>
      </w:pPr>
    </w:p>
    <w:p w14:paraId="5CE64096" w14:textId="5834D6F5" w:rsidR="00046593" w:rsidRPr="00046593" w:rsidRDefault="00046593" w:rsidP="00046593">
      <w:pPr>
        <w:rPr>
          <w:rFonts w:ascii="Arial" w:hAnsi="Arial" w:cs="Arial"/>
          <w:b/>
          <w:color w:val="002060"/>
          <w:sz w:val="22"/>
          <w:szCs w:val="22"/>
        </w:rPr>
      </w:pPr>
      <w:r w:rsidRPr="00046593">
        <w:rPr>
          <w:rFonts w:ascii="Arial" w:hAnsi="Arial" w:cs="Arial"/>
          <w:b/>
          <w:color w:val="002060"/>
          <w:sz w:val="22"/>
          <w:szCs w:val="22"/>
        </w:rPr>
        <w:t>Proposed timetable</w:t>
      </w:r>
    </w:p>
    <w:p w14:paraId="0848B12F" w14:textId="77777777" w:rsidR="00046593" w:rsidRPr="00046593" w:rsidRDefault="00046593" w:rsidP="00046593">
      <w:pPr>
        <w:rPr>
          <w:rFonts w:ascii="Arial" w:hAnsi="Arial" w:cs="Arial"/>
          <w:b/>
          <w:color w:val="002060"/>
          <w:sz w:val="22"/>
          <w:szCs w:val="22"/>
        </w:rPr>
      </w:pPr>
      <w:r w:rsidRPr="00046593">
        <w:rPr>
          <w:rFonts w:ascii="Arial" w:hAnsi="Arial" w:cs="Arial"/>
          <w:b/>
          <w:color w:val="002060"/>
          <w:sz w:val="22"/>
          <w:szCs w:val="22"/>
        </w:rPr>
        <w:t>10 PA</w:t>
      </w:r>
    </w:p>
    <w:p w14:paraId="67C200C2" w14:textId="77777777" w:rsidR="00046593" w:rsidRPr="00046593" w:rsidRDefault="00046593" w:rsidP="00046593">
      <w:pPr>
        <w:rPr>
          <w:rFonts w:ascii="Arial" w:hAnsi="Arial" w:cs="Arial"/>
          <w:color w:val="002060"/>
          <w:sz w:val="22"/>
          <w:szCs w:val="22"/>
        </w:rPr>
      </w:pPr>
      <w:r w:rsidRPr="00046593">
        <w:rPr>
          <w:rFonts w:ascii="Arial" w:hAnsi="Arial" w:cs="Arial"/>
          <w:color w:val="002060"/>
          <w:sz w:val="22"/>
          <w:szCs w:val="22"/>
        </w:rPr>
        <w:t xml:space="preserve">Fixed sessions - 9 direct clinical care, 1 SPA </w:t>
      </w:r>
    </w:p>
    <w:p w14:paraId="18A40485" w14:textId="77777777" w:rsidR="00046593" w:rsidRPr="00046593" w:rsidRDefault="00046593" w:rsidP="00046593">
      <w:pPr>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356"/>
        <w:gridCol w:w="1572"/>
        <w:gridCol w:w="1468"/>
        <w:gridCol w:w="1311"/>
        <w:gridCol w:w="1138"/>
        <w:gridCol w:w="1214"/>
      </w:tblGrid>
      <w:tr w:rsidR="00046593" w:rsidRPr="00046593" w14:paraId="70E5AC10" w14:textId="77777777" w:rsidTr="001C2470">
        <w:tc>
          <w:tcPr>
            <w:tcW w:w="1008" w:type="dxa"/>
          </w:tcPr>
          <w:p w14:paraId="674E2753" w14:textId="77777777" w:rsidR="00046593" w:rsidRPr="00046593" w:rsidRDefault="00046593" w:rsidP="00046593">
            <w:pPr>
              <w:overflowPunct w:val="0"/>
              <w:autoSpaceDE w:val="0"/>
              <w:autoSpaceDN w:val="0"/>
              <w:adjustRightInd w:val="0"/>
              <w:textAlignment w:val="baseline"/>
              <w:rPr>
                <w:rFonts w:ascii="Arial" w:hAnsi="Arial" w:cs="Arial"/>
                <w:i/>
                <w:color w:val="002060"/>
                <w:sz w:val="22"/>
                <w:szCs w:val="22"/>
              </w:rPr>
            </w:pPr>
          </w:p>
        </w:tc>
        <w:tc>
          <w:tcPr>
            <w:tcW w:w="1440" w:type="dxa"/>
          </w:tcPr>
          <w:p w14:paraId="3C478028" w14:textId="77777777" w:rsidR="00046593" w:rsidRPr="00046593" w:rsidRDefault="00046593" w:rsidP="00046593">
            <w:pPr>
              <w:overflowPunct w:val="0"/>
              <w:autoSpaceDE w:val="0"/>
              <w:autoSpaceDN w:val="0"/>
              <w:adjustRightInd w:val="0"/>
              <w:textAlignment w:val="baseline"/>
              <w:rPr>
                <w:rFonts w:ascii="Arial" w:hAnsi="Arial" w:cs="Arial"/>
                <w:b/>
                <w:color w:val="002060"/>
                <w:sz w:val="22"/>
                <w:szCs w:val="22"/>
              </w:rPr>
            </w:pPr>
            <w:r w:rsidRPr="00046593">
              <w:rPr>
                <w:rFonts w:ascii="Arial" w:hAnsi="Arial" w:cs="Arial"/>
                <w:b/>
                <w:color w:val="002060"/>
                <w:sz w:val="22"/>
                <w:szCs w:val="22"/>
              </w:rPr>
              <w:t>Mon</w:t>
            </w:r>
          </w:p>
        </w:tc>
        <w:tc>
          <w:tcPr>
            <w:tcW w:w="1800" w:type="dxa"/>
          </w:tcPr>
          <w:p w14:paraId="1E0C52AE" w14:textId="77777777" w:rsidR="00046593" w:rsidRPr="00046593" w:rsidRDefault="00046593" w:rsidP="00046593">
            <w:pPr>
              <w:overflowPunct w:val="0"/>
              <w:autoSpaceDE w:val="0"/>
              <w:autoSpaceDN w:val="0"/>
              <w:adjustRightInd w:val="0"/>
              <w:textAlignment w:val="baseline"/>
              <w:rPr>
                <w:rFonts w:ascii="Arial" w:hAnsi="Arial" w:cs="Arial"/>
                <w:b/>
                <w:color w:val="002060"/>
                <w:sz w:val="22"/>
                <w:szCs w:val="22"/>
              </w:rPr>
            </w:pPr>
            <w:r w:rsidRPr="00046593">
              <w:rPr>
                <w:rFonts w:ascii="Arial" w:hAnsi="Arial" w:cs="Arial"/>
                <w:b/>
                <w:color w:val="002060"/>
                <w:sz w:val="22"/>
                <w:szCs w:val="22"/>
              </w:rPr>
              <w:t>Tue</w:t>
            </w:r>
          </w:p>
        </w:tc>
        <w:tc>
          <w:tcPr>
            <w:tcW w:w="1620" w:type="dxa"/>
          </w:tcPr>
          <w:p w14:paraId="59CC9003" w14:textId="77777777" w:rsidR="00046593" w:rsidRPr="00046593" w:rsidRDefault="00046593" w:rsidP="00046593">
            <w:pPr>
              <w:overflowPunct w:val="0"/>
              <w:autoSpaceDE w:val="0"/>
              <w:autoSpaceDN w:val="0"/>
              <w:adjustRightInd w:val="0"/>
              <w:textAlignment w:val="baseline"/>
              <w:rPr>
                <w:rFonts w:ascii="Arial" w:hAnsi="Arial" w:cs="Arial"/>
                <w:b/>
                <w:color w:val="002060"/>
                <w:sz w:val="22"/>
                <w:szCs w:val="22"/>
              </w:rPr>
            </w:pPr>
            <w:r w:rsidRPr="00046593">
              <w:rPr>
                <w:rFonts w:ascii="Arial" w:hAnsi="Arial" w:cs="Arial"/>
                <w:b/>
                <w:color w:val="002060"/>
                <w:sz w:val="22"/>
                <w:szCs w:val="22"/>
              </w:rPr>
              <w:t>Wed</w:t>
            </w:r>
          </w:p>
        </w:tc>
        <w:tc>
          <w:tcPr>
            <w:tcW w:w="1440" w:type="dxa"/>
          </w:tcPr>
          <w:p w14:paraId="17BDA2C7" w14:textId="77777777" w:rsidR="00046593" w:rsidRPr="00046593" w:rsidRDefault="00046593" w:rsidP="00046593">
            <w:pPr>
              <w:overflowPunct w:val="0"/>
              <w:autoSpaceDE w:val="0"/>
              <w:autoSpaceDN w:val="0"/>
              <w:adjustRightInd w:val="0"/>
              <w:textAlignment w:val="baseline"/>
              <w:rPr>
                <w:rFonts w:ascii="Arial" w:hAnsi="Arial" w:cs="Arial"/>
                <w:b/>
                <w:color w:val="002060"/>
                <w:sz w:val="22"/>
                <w:szCs w:val="22"/>
              </w:rPr>
            </w:pPr>
            <w:r w:rsidRPr="00046593">
              <w:rPr>
                <w:rFonts w:ascii="Arial" w:hAnsi="Arial" w:cs="Arial"/>
                <w:b/>
                <w:color w:val="002060"/>
                <w:sz w:val="22"/>
                <w:szCs w:val="22"/>
              </w:rPr>
              <w:t>Thu</w:t>
            </w:r>
          </w:p>
        </w:tc>
        <w:tc>
          <w:tcPr>
            <w:tcW w:w="1214" w:type="dxa"/>
          </w:tcPr>
          <w:p w14:paraId="611A5E0B" w14:textId="77777777" w:rsidR="00046593" w:rsidRPr="00046593" w:rsidRDefault="00046593" w:rsidP="00046593">
            <w:pPr>
              <w:overflowPunct w:val="0"/>
              <w:autoSpaceDE w:val="0"/>
              <w:autoSpaceDN w:val="0"/>
              <w:adjustRightInd w:val="0"/>
              <w:textAlignment w:val="baseline"/>
              <w:rPr>
                <w:rFonts w:ascii="Arial" w:hAnsi="Arial" w:cs="Arial"/>
                <w:b/>
                <w:color w:val="002060"/>
                <w:sz w:val="22"/>
                <w:szCs w:val="22"/>
              </w:rPr>
            </w:pPr>
            <w:r w:rsidRPr="00046593">
              <w:rPr>
                <w:rFonts w:ascii="Arial" w:hAnsi="Arial" w:cs="Arial"/>
                <w:b/>
                <w:color w:val="002060"/>
                <w:sz w:val="22"/>
                <w:szCs w:val="22"/>
              </w:rPr>
              <w:t>Fri</w:t>
            </w:r>
          </w:p>
        </w:tc>
        <w:tc>
          <w:tcPr>
            <w:tcW w:w="1230" w:type="dxa"/>
          </w:tcPr>
          <w:p w14:paraId="4B96BD36" w14:textId="77777777" w:rsidR="00046593" w:rsidRPr="00046593" w:rsidRDefault="00046593" w:rsidP="00046593">
            <w:pPr>
              <w:overflowPunct w:val="0"/>
              <w:autoSpaceDE w:val="0"/>
              <w:autoSpaceDN w:val="0"/>
              <w:adjustRightInd w:val="0"/>
              <w:textAlignment w:val="baseline"/>
              <w:rPr>
                <w:rFonts w:ascii="Arial" w:hAnsi="Arial" w:cs="Arial"/>
                <w:b/>
                <w:color w:val="002060"/>
                <w:sz w:val="22"/>
                <w:szCs w:val="22"/>
              </w:rPr>
            </w:pPr>
            <w:r w:rsidRPr="00046593">
              <w:rPr>
                <w:rFonts w:ascii="Arial" w:hAnsi="Arial" w:cs="Arial"/>
                <w:b/>
                <w:color w:val="002060"/>
                <w:sz w:val="22"/>
                <w:szCs w:val="22"/>
              </w:rPr>
              <w:t>weekend</w:t>
            </w:r>
          </w:p>
        </w:tc>
      </w:tr>
      <w:tr w:rsidR="00046593" w:rsidRPr="00046593" w14:paraId="5ECC52A6" w14:textId="77777777" w:rsidTr="001C2470">
        <w:tc>
          <w:tcPr>
            <w:tcW w:w="1008" w:type="dxa"/>
          </w:tcPr>
          <w:p w14:paraId="3606CDC9" w14:textId="77777777" w:rsidR="00046593" w:rsidRPr="00046593" w:rsidRDefault="00046593" w:rsidP="00046593">
            <w:pPr>
              <w:overflowPunct w:val="0"/>
              <w:autoSpaceDE w:val="0"/>
              <w:autoSpaceDN w:val="0"/>
              <w:adjustRightInd w:val="0"/>
              <w:textAlignment w:val="baseline"/>
              <w:rPr>
                <w:rFonts w:ascii="Arial" w:hAnsi="Arial" w:cs="Arial"/>
                <w:i/>
                <w:color w:val="002060"/>
                <w:sz w:val="22"/>
                <w:szCs w:val="22"/>
              </w:rPr>
            </w:pPr>
            <w:r w:rsidRPr="00046593">
              <w:rPr>
                <w:rFonts w:ascii="Arial" w:hAnsi="Arial" w:cs="Arial"/>
                <w:i/>
                <w:color w:val="002060"/>
                <w:sz w:val="22"/>
                <w:szCs w:val="22"/>
              </w:rPr>
              <w:t>am</w:t>
            </w:r>
          </w:p>
        </w:tc>
        <w:tc>
          <w:tcPr>
            <w:tcW w:w="1440" w:type="dxa"/>
          </w:tcPr>
          <w:p w14:paraId="3E11681E"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rPr>
            </w:pPr>
            <w:r w:rsidRPr="00046593">
              <w:rPr>
                <w:rFonts w:ascii="Arial" w:hAnsi="Arial" w:cs="Arial"/>
                <w:color w:val="002060"/>
                <w:sz w:val="22"/>
                <w:szCs w:val="22"/>
              </w:rPr>
              <w:t>HDU</w:t>
            </w:r>
          </w:p>
        </w:tc>
        <w:tc>
          <w:tcPr>
            <w:tcW w:w="1800" w:type="dxa"/>
          </w:tcPr>
          <w:p w14:paraId="3CD42768"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rPr>
            </w:pPr>
            <w:proofErr w:type="spellStart"/>
            <w:r w:rsidRPr="00046593">
              <w:rPr>
                <w:rFonts w:ascii="Arial" w:hAnsi="Arial" w:cs="Arial"/>
                <w:color w:val="002060"/>
                <w:sz w:val="22"/>
                <w:szCs w:val="22"/>
              </w:rPr>
              <w:t>Wd</w:t>
            </w:r>
            <w:proofErr w:type="spellEnd"/>
            <w:r w:rsidRPr="00046593">
              <w:rPr>
                <w:rFonts w:ascii="Arial" w:hAnsi="Arial" w:cs="Arial"/>
                <w:color w:val="002060"/>
                <w:sz w:val="22"/>
                <w:szCs w:val="22"/>
              </w:rPr>
              <w:t xml:space="preserve"> 46</w:t>
            </w:r>
          </w:p>
        </w:tc>
        <w:tc>
          <w:tcPr>
            <w:tcW w:w="1620" w:type="dxa"/>
          </w:tcPr>
          <w:p w14:paraId="31F898D3"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rPr>
            </w:pPr>
            <w:proofErr w:type="spellStart"/>
            <w:r w:rsidRPr="00046593">
              <w:rPr>
                <w:rFonts w:ascii="Arial" w:hAnsi="Arial" w:cs="Arial"/>
                <w:color w:val="002060"/>
                <w:sz w:val="22"/>
                <w:szCs w:val="22"/>
              </w:rPr>
              <w:t>Aau</w:t>
            </w:r>
            <w:proofErr w:type="spellEnd"/>
          </w:p>
        </w:tc>
        <w:tc>
          <w:tcPr>
            <w:tcW w:w="1440" w:type="dxa"/>
          </w:tcPr>
          <w:p w14:paraId="290B9A8A"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rPr>
            </w:pPr>
            <w:r w:rsidRPr="00046593">
              <w:rPr>
                <w:rFonts w:ascii="Arial" w:hAnsi="Arial" w:cs="Arial"/>
                <w:color w:val="002060"/>
                <w:sz w:val="22"/>
                <w:szCs w:val="22"/>
              </w:rPr>
              <w:t>Zero hours</w:t>
            </w:r>
          </w:p>
        </w:tc>
        <w:tc>
          <w:tcPr>
            <w:tcW w:w="1214" w:type="dxa"/>
          </w:tcPr>
          <w:p w14:paraId="3D346957"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rPr>
            </w:pPr>
            <w:proofErr w:type="spellStart"/>
            <w:r w:rsidRPr="00046593">
              <w:rPr>
                <w:rFonts w:ascii="Arial" w:hAnsi="Arial" w:cs="Arial"/>
                <w:color w:val="002060"/>
                <w:sz w:val="22"/>
                <w:szCs w:val="22"/>
              </w:rPr>
              <w:t>Wd</w:t>
            </w:r>
            <w:proofErr w:type="spellEnd"/>
            <w:r w:rsidRPr="00046593">
              <w:rPr>
                <w:rFonts w:ascii="Arial" w:hAnsi="Arial" w:cs="Arial"/>
                <w:color w:val="002060"/>
                <w:sz w:val="22"/>
                <w:szCs w:val="22"/>
              </w:rPr>
              <w:t xml:space="preserve"> 51</w:t>
            </w:r>
          </w:p>
        </w:tc>
        <w:tc>
          <w:tcPr>
            <w:tcW w:w="1230" w:type="dxa"/>
          </w:tcPr>
          <w:p w14:paraId="1EB9F3D7"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rPr>
            </w:pPr>
            <w:r w:rsidRPr="00046593">
              <w:rPr>
                <w:rFonts w:ascii="Arial" w:hAnsi="Arial" w:cs="Arial"/>
                <w:color w:val="002060"/>
                <w:sz w:val="22"/>
                <w:szCs w:val="22"/>
              </w:rPr>
              <w:t>1 in 9</w:t>
            </w:r>
          </w:p>
        </w:tc>
      </w:tr>
      <w:tr w:rsidR="00046593" w:rsidRPr="00046593" w14:paraId="33417D9A" w14:textId="77777777" w:rsidTr="001C2470">
        <w:tc>
          <w:tcPr>
            <w:tcW w:w="1008" w:type="dxa"/>
          </w:tcPr>
          <w:p w14:paraId="5F8B9873" w14:textId="77777777" w:rsidR="00046593" w:rsidRPr="00046593" w:rsidRDefault="00046593" w:rsidP="00046593">
            <w:pPr>
              <w:overflowPunct w:val="0"/>
              <w:autoSpaceDE w:val="0"/>
              <w:autoSpaceDN w:val="0"/>
              <w:adjustRightInd w:val="0"/>
              <w:textAlignment w:val="baseline"/>
              <w:rPr>
                <w:rFonts w:ascii="Arial" w:hAnsi="Arial" w:cs="Arial"/>
                <w:i/>
                <w:color w:val="002060"/>
                <w:sz w:val="22"/>
                <w:szCs w:val="22"/>
              </w:rPr>
            </w:pPr>
            <w:r w:rsidRPr="00046593">
              <w:rPr>
                <w:rFonts w:ascii="Arial" w:hAnsi="Arial" w:cs="Arial"/>
                <w:i/>
                <w:color w:val="002060"/>
                <w:sz w:val="22"/>
                <w:szCs w:val="22"/>
              </w:rPr>
              <w:t>lunch</w:t>
            </w:r>
          </w:p>
        </w:tc>
        <w:tc>
          <w:tcPr>
            <w:tcW w:w="1440" w:type="dxa"/>
          </w:tcPr>
          <w:p w14:paraId="09644E12"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highlight w:val="yellow"/>
              </w:rPr>
            </w:pPr>
            <w:r w:rsidRPr="00046593">
              <w:rPr>
                <w:rFonts w:ascii="Arial" w:hAnsi="Arial" w:cs="Arial"/>
                <w:color w:val="002060"/>
                <w:sz w:val="22"/>
                <w:szCs w:val="22"/>
              </w:rPr>
              <w:t>Unit meeting</w:t>
            </w:r>
          </w:p>
        </w:tc>
        <w:tc>
          <w:tcPr>
            <w:tcW w:w="1800" w:type="dxa"/>
            <w:shd w:val="clear" w:color="auto" w:fill="FFFFFF"/>
          </w:tcPr>
          <w:p w14:paraId="6813B74B"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rPr>
            </w:pPr>
          </w:p>
        </w:tc>
        <w:tc>
          <w:tcPr>
            <w:tcW w:w="1620" w:type="dxa"/>
          </w:tcPr>
          <w:p w14:paraId="576B9F45"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rPr>
            </w:pPr>
            <w:r w:rsidRPr="00046593">
              <w:rPr>
                <w:rFonts w:ascii="Arial" w:hAnsi="Arial" w:cs="Arial"/>
                <w:color w:val="002060"/>
                <w:sz w:val="22"/>
                <w:szCs w:val="22"/>
              </w:rPr>
              <w:t>Grand round</w:t>
            </w:r>
          </w:p>
        </w:tc>
        <w:tc>
          <w:tcPr>
            <w:tcW w:w="1440" w:type="dxa"/>
          </w:tcPr>
          <w:p w14:paraId="56CA10E7"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highlight w:val="yellow"/>
              </w:rPr>
            </w:pPr>
          </w:p>
        </w:tc>
        <w:tc>
          <w:tcPr>
            <w:tcW w:w="1214" w:type="dxa"/>
          </w:tcPr>
          <w:p w14:paraId="20F74AE8"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highlight w:val="yellow"/>
              </w:rPr>
            </w:pPr>
          </w:p>
        </w:tc>
        <w:tc>
          <w:tcPr>
            <w:tcW w:w="1230" w:type="dxa"/>
          </w:tcPr>
          <w:p w14:paraId="4A0169B7"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highlight w:val="yellow"/>
              </w:rPr>
            </w:pPr>
          </w:p>
        </w:tc>
      </w:tr>
      <w:tr w:rsidR="00046593" w:rsidRPr="00046593" w14:paraId="1B2FBC93" w14:textId="77777777" w:rsidTr="001C2470">
        <w:tc>
          <w:tcPr>
            <w:tcW w:w="1008" w:type="dxa"/>
          </w:tcPr>
          <w:p w14:paraId="727C5AE7" w14:textId="77777777" w:rsidR="00046593" w:rsidRPr="00046593" w:rsidRDefault="00046593" w:rsidP="00046593">
            <w:pPr>
              <w:overflowPunct w:val="0"/>
              <w:autoSpaceDE w:val="0"/>
              <w:autoSpaceDN w:val="0"/>
              <w:adjustRightInd w:val="0"/>
              <w:textAlignment w:val="baseline"/>
              <w:rPr>
                <w:rFonts w:ascii="Arial" w:hAnsi="Arial" w:cs="Arial"/>
                <w:i/>
                <w:color w:val="002060"/>
                <w:sz w:val="22"/>
                <w:szCs w:val="22"/>
              </w:rPr>
            </w:pPr>
            <w:r w:rsidRPr="00046593">
              <w:rPr>
                <w:rFonts w:ascii="Arial" w:hAnsi="Arial" w:cs="Arial"/>
                <w:i/>
                <w:color w:val="002060"/>
                <w:sz w:val="22"/>
                <w:szCs w:val="22"/>
              </w:rPr>
              <w:t>pm</w:t>
            </w:r>
          </w:p>
        </w:tc>
        <w:tc>
          <w:tcPr>
            <w:tcW w:w="1440" w:type="dxa"/>
          </w:tcPr>
          <w:p w14:paraId="27B84795"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rPr>
            </w:pPr>
            <w:r w:rsidRPr="00046593">
              <w:rPr>
                <w:rFonts w:ascii="Arial" w:hAnsi="Arial" w:cs="Arial"/>
                <w:color w:val="002060"/>
                <w:sz w:val="22"/>
                <w:szCs w:val="22"/>
              </w:rPr>
              <w:t>HDU</w:t>
            </w:r>
          </w:p>
        </w:tc>
        <w:tc>
          <w:tcPr>
            <w:tcW w:w="1800" w:type="dxa"/>
          </w:tcPr>
          <w:p w14:paraId="639ED5C0"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rPr>
            </w:pPr>
            <w:r w:rsidRPr="00046593">
              <w:rPr>
                <w:rFonts w:ascii="Arial" w:hAnsi="Arial" w:cs="Arial"/>
                <w:color w:val="002060"/>
                <w:sz w:val="22"/>
                <w:szCs w:val="22"/>
              </w:rPr>
              <w:t>Spa</w:t>
            </w:r>
          </w:p>
        </w:tc>
        <w:tc>
          <w:tcPr>
            <w:tcW w:w="1620" w:type="dxa"/>
          </w:tcPr>
          <w:p w14:paraId="5F7B108C"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rPr>
            </w:pPr>
            <w:r w:rsidRPr="00046593">
              <w:rPr>
                <w:rFonts w:ascii="Arial" w:hAnsi="Arial" w:cs="Arial"/>
                <w:color w:val="002060"/>
                <w:sz w:val="22"/>
                <w:szCs w:val="22"/>
              </w:rPr>
              <w:t>AAU</w:t>
            </w:r>
          </w:p>
        </w:tc>
        <w:tc>
          <w:tcPr>
            <w:tcW w:w="1440" w:type="dxa"/>
          </w:tcPr>
          <w:p w14:paraId="0F36B6FC"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highlight w:val="yellow"/>
              </w:rPr>
            </w:pPr>
            <w:r w:rsidRPr="00046593">
              <w:rPr>
                <w:rFonts w:ascii="Arial" w:hAnsi="Arial" w:cs="Arial"/>
                <w:color w:val="002060"/>
                <w:sz w:val="22"/>
                <w:szCs w:val="22"/>
              </w:rPr>
              <w:t>Zero hours</w:t>
            </w:r>
          </w:p>
        </w:tc>
        <w:tc>
          <w:tcPr>
            <w:tcW w:w="1214" w:type="dxa"/>
          </w:tcPr>
          <w:p w14:paraId="41169925"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rPr>
            </w:pPr>
            <w:r w:rsidRPr="00046593">
              <w:rPr>
                <w:rFonts w:ascii="Arial" w:hAnsi="Arial" w:cs="Arial"/>
                <w:color w:val="002060"/>
                <w:sz w:val="22"/>
                <w:szCs w:val="22"/>
              </w:rPr>
              <w:t>admin</w:t>
            </w:r>
          </w:p>
        </w:tc>
        <w:tc>
          <w:tcPr>
            <w:tcW w:w="1230" w:type="dxa"/>
          </w:tcPr>
          <w:p w14:paraId="1AFDF1BE"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rPr>
            </w:pPr>
            <w:r w:rsidRPr="00046593">
              <w:rPr>
                <w:rFonts w:ascii="Arial" w:hAnsi="Arial" w:cs="Arial"/>
                <w:color w:val="002060"/>
                <w:sz w:val="22"/>
                <w:szCs w:val="22"/>
              </w:rPr>
              <w:t>1 in 9</w:t>
            </w:r>
          </w:p>
        </w:tc>
      </w:tr>
      <w:tr w:rsidR="00046593" w:rsidRPr="00046593" w14:paraId="36941301" w14:textId="77777777" w:rsidTr="001C2470">
        <w:trPr>
          <w:trHeight w:val="56"/>
        </w:trPr>
        <w:tc>
          <w:tcPr>
            <w:tcW w:w="1008" w:type="dxa"/>
          </w:tcPr>
          <w:p w14:paraId="11620FDF" w14:textId="77777777" w:rsidR="00046593" w:rsidRPr="00046593" w:rsidRDefault="00046593" w:rsidP="00046593">
            <w:pPr>
              <w:overflowPunct w:val="0"/>
              <w:autoSpaceDE w:val="0"/>
              <w:autoSpaceDN w:val="0"/>
              <w:adjustRightInd w:val="0"/>
              <w:textAlignment w:val="baseline"/>
              <w:rPr>
                <w:rFonts w:ascii="Arial" w:hAnsi="Arial" w:cs="Arial"/>
                <w:i/>
                <w:color w:val="002060"/>
                <w:sz w:val="22"/>
                <w:szCs w:val="22"/>
              </w:rPr>
            </w:pPr>
            <w:r w:rsidRPr="00046593">
              <w:rPr>
                <w:rFonts w:ascii="Arial" w:hAnsi="Arial" w:cs="Arial"/>
                <w:i/>
                <w:color w:val="002060"/>
                <w:sz w:val="22"/>
                <w:szCs w:val="22"/>
              </w:rPr>
              <w:t>Late</w:t>
            </w:r>
          </w:p>
        </w:tc>
        <w:tc>
          <w:tcPr>
            <w:tcW w:w="1440" w:type="dxa"/>
          </w:tcPr>
          <w:p w14:paraId="7A07A7E3"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rPr>
            </w:pPr>
          </w:p>
        </w:tc>
        <w:tc>
          <w:tcPr>
            <w:tcW w:w="1800" w:type="dxa"/>
          </w:tcPr>
          <w:p w14:paraId="12C0B36B"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rPr>
            </w:pPr>
          </w:p>
        </w:tc>
        <w:tc>
          <w:tcPr>
            <w:tcW w:w="1620" w:type="dxa"/>
          </w:tcPr>
          <w:p w14:paraId="05AFBE68"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rPr>
            </w:pPr>
            <w:r w:rsidRPr="00046593">
              <w:rPr>
                <w:rFonts w:ascii="Arial" w:hAnsi="Arial" w:cs="Arial"/>
                <w:color w:val="002060"/>
                <w:sz w:val="22"/>
                <w:szCs w:val="22"/>
              </w:rPr>
              <w:t>AAU</w:t>
            </w:r>
          </w:p>
        </w:tc>
        <w:tc>
          <w:tcPr>
            <w:tcW w:w="1440" w:type="dxa"/>
          </w:tcPr>
          <w:p w14:paraId="4228478A"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rPr>
            </w:pPr>
          </w:p>
        </w:tc>
        <w:tc>
          <w:tcPr>
            <w:tcW w:w="1214" w:type="dxa"/>
          </w:tcPr>
          <w:p w14:paraId="1E4D55F9"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rPr>
            </w:pPr>
          </w:p>
        </w:tc>
        <w:tc>
          <w:tcPr>
            <w:tcW w:w="1230" w:type="dxa"/>
          </w:tcPr>
          <w:p w14:paraId="17E7E6F5" w14:textId="77777777" w:rsidR="00046593" w:rsidRPr="00046593" w:rsidRDefault="00046593" w:rsidP="00046593">
            <w:pPr>
              <w:overflowPunct w:val="0"/>
              <w:autoSpaceDE w:val="0"/>
              <w:autoSpaceDN w:val="0"/>
              <w:adjustRightInd w:val="0"/>
              <w:textAlignment w:val="baseline"/>
              <w:rPr>
                <w:rFonts w:ascii="Arial" w:hAnsi="Arial" w:cs="Arial"/>
                <w:color w:val="002060"/>
                <w:sz w:val="22"/>
                <w:szCs w:val="22"/>
              </w:rPr>
            </w:pPr>
          </w:p>
        </w:tc>
      </w:tr>
    </w:tbl>
    <w:p w14:paraId="7CF82F20" w14:textId="77777777" w:rsidR="00046593" w:rsidRDefault="00046593" w:rsidP="00046593">
      <w:pPr>
        <w:rPr>
          <w:rFonts w:ascii="Arial" w:hAnsi="Arial" w:cs="Arial"/>
          <w:color w:val="002060"/>
          <w:sz w:val="22"/>
          <w:szCs w:val="22"/>
        </w:rPr>
      </w:pPr>
    </w:p>
    <w:p w14:paraId="69A9EA92" w14:textId="5F8B458E" w:rsidR="00046593" w:rsidRPr="00046593" w:rsidRDefault="00046593" w:rsidP="00046593">
      <w:pPr>
        <w:rPr>
          <w:rFonts w:ascii="Arial" w:hAnsi="Arial" w:cs="Arial"/>
          <w:color w:val="002060"/>
          <w:sz w:val="22"/>
          <w:szCs w:val="22"/>
        </w:rPr>
      </w:pPr>
      <w:r w:rsidRPr="00046593">
        <w:rPr>
          <w:rFonts w:ascii="Arial" w:hAnsi="Arial" w:cs="Arial"/>
          <w:color w:val="002060"/>
          <w:sz w:val="22"/>
          <w:szCs w:val="22"/>
        </w:rPr>
        <w:t xml:space="preserve">Some flexibility in timing of sessions is necessary to </w:t>
      </w:r>
      <w:proofErr w:type="gramStart"/>
      <w:r w:rsidRPr="00046593">
        <w:rPr>
          <w:rFonts w:ascii="Arial" w:hAnsi="Arial" w:cs="Arial"/>
          <w:color w:val="002060"/>
          <w:sz w:val="22"/>
          <w:szCs w:val="22"/>
        </w:rPr>
        <w:t>take into account</w:t>
      </w:r>
      <w:proofErr w:type="gramEnd"/>
      <w:r w:rsidRPr="00046593">
        <w:rPr>
          <w:rFonts w:ascii="Arial" w:hAnsi="Arial" w:cs="Arial"/>
          <w:color w:val="002060"/>
          <w:sz w:val="22"/>
          <w:szCs w:val="22"/>
        </w:rPr>
        <w:t xml:space="preserve"> bank holidays, absence of colleagues, and occasional contribution to general medical on-call. In the above proposed timetable AMU activities includes periods supporting the AAU, periods supporting the activities on the AMU and managing patients in the Medical HDU and ward 46. These four clinical areas will be covered prospectively on a Monday to Friday by the complement of acute physicians. Please note that the above job plan is indicative and may be adapted for needs of service. </w:t>
      </w:r>
    </w:p>
    <w:p w14:paraId="3698E1BE" w14:textId="77777777" w:rsidR="00046593" w:rsidRPr="00046593" w:rsidRDefault="00046593" w:rsidP="00046593">
      <w:pPr>
        <w:rPr>
          <w:rFonts w:ascii="Arial" w:hAnsi="Arial" w:cs="Arial"/>
          <w:color w:val="002060"/>
          <w:sz w:val="22"/>
          <w:szCs w:val="22"/>
        </w:rPr>
      </w:pPr>
    </w:p>
    <w:p w14:paraId="221915C9" w14:textId="77777777" w:rsidR="00046593" w:rsidRPr="00046593" w:rsidRDefault="00046593" w:rsidP="00046593">
      <w:pPr>
        <w:rPr>
          <w:rFonts w:ascii="Arial" w:hAnsi="Arial" w:cs="Arial"/>
          <w:b/>
          <w:bCs/>
          <w:color w:val="002060"/>
          <w:sz w:val="22"/>
          <w:szCs w:val="22"/>
        </w:rPr>
      </w:pPr>
      <w:r w:rsidRPr="00046593">
        <w:rPr>
          <w:rFonts w:ascii="Arial" w:hAnsi="Arial" w:cs="Arial"/>
          <w:b/>
          <w:bCs/>
          <w:color w:val="002060"/>
          <w:sz w:val="22"/>
          <w:szCs w:val="22"/>
        </w:rPr>
        <w:t xml:space="preserve">Management Arrangements </w:t>
      </w:r>
    </w:p>
    <w:p w14:paraId="376578BE" w14:textId="77777777" w:rsidR="00046593" w:rsidRPr="00046593" w:rsidRDefault="00046593" w:rsidP="00046593">
      <w:pPr>
        <w:rPr>
          <w:rFonts w:ascii="Arial" w:hAnsi="Arial" w:cs="Arial"/>
          <w:color w:val="002060"/>
          <w:sz w:val="22"/>
          <w:szCs w:val="22"/>
        </w:rPr>
      </w:pPr>
      <w:r w:rsidRPr="00046593">
        <w:rPr>
          <w:rFonts w:ascii="Arial" w:hAnsi="Arial" w:cs="Arial"/>
          <w:color w:val="002060"/>
          <w:sz w:val="22"/>
          <w:szCs w:val="22"/>
        </w:rPr>
        <w:lastRenderedPageBreak/>
        <w:t xml:space="preserve">General (Internal) Medicine and Acute Medicine are part of the Emergency Care and Medical Specialties Directorate, NHS Greater </w:t>
      </w:r>
      <w:proofErr w:type="gramStart"/>
      <w:r w:rsidRPr="00046593">
        <w:rPr>
          <w:rFonts w:ascii="Arial" w:hAnsi="Arial" w:cs="Arial"/>
          <w:color w:val="002060"/>
          <w:sz w:val="22"/>
          <w:szCs w:val="22"/>
        </w:rPr>
        <w:t>Glasgow</w:t>
      </w:r>
      <w:proofErr w:type="gramEnd"/>
      <w:r w:rsidRPr="00046593">
        <w:rPr>
          <w:rFonts w:ascii="Arial" w:hAnsi="Arial" w:cs="Arial"/>
          <w:color w:val="002060"/>
          <w:sz w:val="22"/>
          <w:szCs w:val="22"/>
        </w:rPr>
        <w:t xml:space="preserve"> and Clyde. </w:t>
      </w:r>
      <w:proofErr w:type="gramStart"/>
      <w:r w:rsidRPr="00046593">
        <w:rPr>
          <w:rFonts w:ascii="Arial" w:hAnsi="Arial" w:cs="Arial"/>
          <w:color w:val="002060"/>
          <w:sz w:val="22"/>
          <w:szCs w:val="22"/>
        </w:rPr>
        <w:t>Mr Neil McCallum,</w:t>
      </w:r>
      <w:proofErr w:type="gramEnd"/>
      <w:r w:rsidRPr="00046593">
        <w:rPr>
          <w:rFonts w:ascii="Arial" w:hAnsi="Arial" w:cs="Arial"/>
          <w:color w:val="002060"/>
          <w:sz w:val="22"/>
          <w:szCs w:val="22"/>
        </w:rPr>
        <w:t xml:space="preserve"> is the Director of North Sector NHS Greater Glasgow and Clyde, and is supported by Ms Mary Brown, Consultant Urologist and Chief of Medicine and Mr John Carson, Chief of Nursing. </w:t>
      </w:r>
    </w:p>
    <w:p w14:paraId="4AD5D7C1" w14:textId="77777777" w:rsidR="00046593" w:rsidRPr="00046593" w:rsidRDefault="00046593" w:rsidP="00046593">
      <w:pPr>
        <w:rPr>
          <w:rFonts w:ascii="Arial" w:hAnsi="Arial" w:cs="Arial"/>
          <w:color w:val="002060"/>
          <w:sz w:val="22"/>
          <w:szCs w:val="22"/>
        </w:rPr>
      </w:pPr>
    </w:p>
    <w:p w14:paraId="08C2F2F0" w14:textId="77777777" w:rsidR="00046593" w:rsidRPr="00046593" w:rsidRDefault="00046593" w:rsidP="00046593">
      <w:pPr>
        <w:rPr>
          <w:rFonts w:ascii="Arial" w:hAnsi="Arial" w:cs="Arial"/>
          <w:color w:val="002060"/>
          <w:sz w:val="22"/>
          <w:szCs w:val="22"/>
        </w:rPr>
      </w:pPr>
      <w:r w:rsidRPr="00046593">
        <w:rPr>
          <w:rFonts w:ascii="Arial" w:hAnsi="Arial" w:cs="Arial"/>
          <w:color w:val="002060"/>
          <w:sz w:val="22"/>
          <w:szCs w:val="22"/>
        </w:rPr>
        <w:t>At Glasgow Royal Infirmary site specific management with responsibility for Medicine at Glasgow Royal Infirmary is by Mrs Rebecca Reid, General Manager, NHS Greater Glasgow.</w:t>
      </w:r>
    </w:p>
    <w:p w14:paraId="7F113707" w14:textId="6B3177E5" w:rsidR="008502BD" w:rsidRPr="008A52ED" w:rsidRDefault="008502BD" w:rsidP="008A52ED">
      <w:pPr>
        <w:rPr>
          <w:rFonts w:ascii="Arial" w:hAnsi="Arial" w:cs="Arial"/>
          <w:color w:val="002060"/>
        </w:rPr>
      </w:pPr>
      <w:r w:rsidRPr="008A52ED">
        <w:rPr>
          <w:rFonts w:ascii="Arial" w:hAnsi="Arial" w:cs="Arial"/>
          <w:b/>
          <w:bCs/>
          <w:color w:val="002060"/>
          <w:sz w:val="32"/>
          <w:szCs w:val="32"/>
        </w:rPr>
        <w:tab/>
      </w:r>
    </w:p>
    <w:p w14:paraId="527907E5" w14:textId="77777777" w:rsidR="008502BD" w:rsidRPr="008A52ED" w:rsidRDefault="008502BD" w:rsidP="00067415">
      <w:pPr>
        <w:rPr>
          <w:rFonts w:ascii="Arial" w:hAnsi="Arial" w:cs="Arial"/>
          <w:b/>
          <w:bCs/>
          <w:color w:val="002060"/>
        </w:rPr>
      </w:pPr>
    </w:p>
    <w:p w14:paraId="6AAB893B" w14:textId="77777777" w:rsidR="00046593" w:rsidRDefault="00046593" w:rsidP="00791C81">
      <w:pPr>
        <w:pStyle w:val="BodyText"/>
        <w:ind w:right="-6"/>
        <w:jc w:val="both"/>
        <w:rPr>
          <w:rFonts w:ascii="Arial" w:hAnsi="Arial" w:cs="Arial"/>
          <w:b/>
          <w:bCs/>
          <w:color w:val="002060"/>
          <w:sz w:val="24"/>
          <w:szCs w:val="24"/>
        </w:rPr>
      </w:pPr>
    </w:p>
    <w:p w14:paraId="47D578CC" w14:textId="77777777" w:rsidR="00046593" w:rsidRDefault="00046593" w:rsidP="00791C81">
      <w:pPr>
        <w:pStyle w:val="BodyText"/>
        <w:ind w:right="-6"/>
        <w:jc w:val="both"/>
        <w:rPr>
          <w:rFonts w:ascii="Arial" w:hAnsi="Arial" w:cs="Arial"/>
          <w:b/>
          <w:bCs/>
          <w:color w:val="002060"/>
          <w:sz w:val="24"/>
          <w:szCs w:val="24"/>
        </w:rPr>
      </w:pPr>
    </w:p>
    <w:p w14:paraId="74C16ACC" w14:textId="77777777" w:rsidR="00046593" w:rsidRDefault="00046593" w:rsidP="00791C81">
      <w:pPr>
        <w:pStyle w:val="BodyText"/>
        <w:ind w:right="-6"/>
        <w:jc w:val="both"/>
        <w:rPr>
          <w:rFonts w:ascii="Arial" w:hAnsi="Arial" w:cs="Arial"/>
          <w:b/>
          <w:bCs/>
          <w:color w:val="002060"/>
          <w:sz w:val="24"/>
          <w:szCs w:val="24"/>
        </w:rPr>
      </w:pPr>
    </w:p>
    <w:p w14:paraId="7FFBE41E" w14:textId="77777777" w:rsidR="00046593" w:rsidRDefault="00046593" w:rsidP="00791C81">
      <w:pPr>
        <w:pStyle w:val="BodyText"/>
        <w:ind w:right="-6"/>
        <w:jc w:val="both"/>
        <w:rPr>
          <w:rFonts w:ascii="Arial" w:hAnsi="Arial" w:cs="Arial"/>
          <w:b/>
          <w:bCs/>
          <w:color w:val="002060"/>
          <w:sz w:val="24"/>
          <w:szCs w:val="24"/>
        </w:rPr>
      </w:pPr>
    </w:p>
    <w:p w14:paraId="1882883A" w14:textId="77777777" w:rsidR="00046593" w:rsidRDefault="00046593" w:rsidP="00791C81">
      <w:pPr>
        <w:pStyle w:val="BodyText"/>
        <w:ind w:right="-6"/>
        <w:jc w:val="both"/>
        <w:rPr>
          <w:rFonts w:ascii="Arial" w:hAnsi="Arial" w:cs="Arial"/>
          <w:b/>
          <w:bCs/>
          <w:color w:val="002060"/>
          <w:sz w:val="24"/>
          <w:szCs w:val="24"/>
        </w:rPr>
      </w:pPr>
    </w:p>
    <w:p w14:paraId="373BBF26" w14:textId="77777777" w:rsidR="00046593" w:rsidRDefault="00046593" w:rsidP="00791C81">
      <w:pPr>
        <w:pStyle w:val="BodyText"/>
        <w:ind w:right="-6"/>
        <w:jc w:val="both"/>
        <w:rPr>
          <w:rFonts w:ascii="Arial" w:hAnsi="Arial" w:cs="Arial"/>
          <w:b/>
          <w:bCs/>
          <w:color w:val="002060"/>
          <w:sz w:val="24"/>
          <w:szCs w:val="24"/>
        </w:rPr>
      </w:pPr>
    </w:p>
    <w:p w14:paraId="2A36DB39" w14:textId="77777777" w:rsidR="00046593" w:rsidRDefault="00046593" w:rsidP="00791C81">
      <w:pPr>
        <w:pStyle w:val="BodyText"/>
        <w:ind w:right="-6"/>
        <w:jc w:val="both"/>
        <w:rPr>
          <w:rFonts w:ascii="Arial" w:hAnsi="Arial" w:cs="Arial"/>
          <w:b/>
          <w:bCs/>
          <w:color w:val="002060"/>
          <w:sz w:val="24"/>
          <w:szCs w:val="24"/>
        </w:rPr>
      </w:pPr>
    </w:p>
    <w:p w14:paraId="243BC4AD" w14:textId="77777777" w:rsidR="00046593" w:rsidRDefault="00046593" w:rsidP="00791C81">
      <w:pPr>
        <w:pStyle w:val="BodyText"/>
        <w:ind w:right="-6"/>
        <w:jc w:val="both"/>
        <w:rPr>
          <w:rFonts w:ascii="Arial" w:hAnsi="Arial" w:cs="Arial"/>
          <w:b/>
          <w:bCs/>
          <w:color w:val="002060"/>
          <w:sz w:val="24"/>
          <w:szCs w:val="24"/>
        </w:rPr>
      </w:pPr>
    </w:p>
    <w:p w14:paraId="07285049" w14:textId="77777777" w:rsidR="00046593" w:rsidRDefault="00046593" w:rsidP="00791C81">
      <w:pPr>
        <w:pStyle w:val="BodyText"/>
        <w:ind w:right="-6"/>
        <w:jc w:val="both"/>
        <w:rPr>
          <w:rFonts w:ascii="Arial" w:hAnsi="Arial" w:cs="Arial"/>
          <w:b/>
          <w:bCs/>
          <w:color w:val="002060"/>
          <w:sz w:val="24"/>
          <w:szCs w:val="24"/>
        </w:rPr>
      </w:pPr>
    </w:p>
    <w:p w14:paraId="09A8ED2C" w14:textId="77777777" w:rsidR="00046593" w:rsidRDefault="00046593" w:rsidP="00791C81">
      <w:pPr>
        <w:pStyle w:val="BodyText"/>
        <w:ind w:right="-6"/>
        <w:jc w:val="both"/>
        <w:rPr>
          <w:rFonts w:ascii="Arial" w:hAnsi="Arial" w:cs="Arial"/>
          <w:b/>
          <w:bCs/>
          <w:color w:val="002060"/>
          <w:sz w:val="24"/>
          <w:szCs w:val="24"/>
        </w:rPr>
      </w:pPr>
    </w:p>
    <w:p w14:paraId="6BBBAD1C" w14:textId="77777777" w:rsidR="00046593" w:rsidRDefault="00046593" w:rsidP="00791C81">
      <w:pPr>
        <w:pStyle w:val="BodyText"/>
        <w:ind w:right="-6"/>
        <w:jc w:val="both"/>
        <w:rPr>
          <w:rFonts w:ascii="Arial" w:hAnsi="Arial" w:cs="Arial"/>
          <w:b/>
          <w:bCs/>
          <w:color w:val="002060"/>
          <w:sz w:val="24"/>
          <w:szCs w:val="24"/>
        </w:rPr>
      </w:pPr>
    </w:p>
    <w:p w14:paraId="3264DB75" w14:textId="77777777" w:rsidR="00046593" w:rsidRDefault="00046593" w:rsidP="00791C81">
      <w:pPr>
        <w:pStyle w:val="BodyText"/>
        <w:ind w:right="-6"/>
        <w:jc w:val="both"/>
        <w:rPr>
          <w:rFonts w:ascii="Arial" w:hAnsi="Arial" w:cs="Arial"/>
          <w:b/>
          <w:bCs/>
          <w:color w:val="002060"/>
          <w:sz w:val="24"/>
          <w:szCs w:val="24"/>
        </w:rPr>
      </w:pPr>
    </w:p>
    <w:p w14:paraId="5F475FEA" w14:textId="77777777" w:rsidR="00046593" w:rsidRDefault="00046593" w:rsidP="00791C81">
      <w:pPr>
        <w:pStyle w:val="BodyText"/>
        <w:ind w:right="-6"/>
        <w:jc w:val="both"/>
        <w:rPr>
          <w:rFonts w:ascii="Arial" w:hAnsi="Arial" w:cs="Arial"/>
          <w:b/>
          <w:bCs/>
          <w:color w:val="002060"/>
          <w:sz w:val="24"/>
          <w:szCs w:val="24"/>
        </w:rPr>
      </w:pPr>
    </w:p>
    <w:p w14:paraId="79025510" w14:textId="77777777" w:rsidR="00046593" w:rsidRDefault="00046593" w:rsidP="00791C81">
      <w:pPr>
        <w:pStyle w:val="BodyText"/>
        <w:ind w:right="-6"/>
        <w:jc w:val="both"/>
        <w:rPr>
          <w:rFonts w:ascii="Arial" w:hAnsi="Arial" w:cs="Arial"/>
          <w:b/>
          <w:bCs/>
          <w:color w:val="002060"/>
          <w:sz w:val="24"/>
          <w:szCs w:val="24"/>
        </w:rPr>
      </w:pPr>
    </w:p>
    <w:p w14:paraId="5D1D7045" w14:textId="77777777" w:rsidR="00046593" w:rsidRDefault="00046593" w:rsidP="00791C81">
      <w:pPr>
        <w:pStyle w:val="BodyText"/>
        <w:ind w:right="-6"/>
        <w:jc w:val="both"/>
        <w:rPr>
          <w:rFonts w:ascii="Arial" w:hAnsi="Arial" w:cs="Arial"/>
          <w:b/>
          <w:bCs/>
          <w:color w:val="002060"/>
          <w:sz w:val="24"/>
          <w:szCs w:val="24"/>
        </w:rPr>
      </w:pPr>
    </w:p>
    <w:p w14:paraId="4B3599B4" w14:textId="77777777" w:rsidR="00046593" w:rsidRDefault="00046593" w:rsidP="00791C81">
      <w:pPr>
        <w:pStyle w:val="BodyText"/>
        <w:ind w:right="-6"/>
        <w:jc w:val="both"/>
        <w:rPr>
          <w:rFonts w:ascii="Arial" w:hAnsi="Arial" w:cs="Arial"/>
          <w:b/>
          <w:bCs/>
          <w:color w:val="002060"/>
          <w:sz w:val="24"/>
          <w:szCs w:val="24"/>
        </w:rPr>
      </w:pPr>
    </w:p>
    <w:p w14:paraId="2881CA41" w14:textId="77777777" w:rsidR="00046593" w:rsidRDefault="00046593" w:rsidP="00791C81">
      <w:pPr>
        <w:pStyle w:val="BodyText"/>
        <w:ind w:right="-6"/>
        <w:jc w:val="both"/>
        <w:rPr>
          <w:rFonts w:ascii="Arial" w:hAnsi="Arial" w:cs="Arial"/>
          <w:b/>
          <w:bCs/>
          <w:color w:val="002060"/>
          <w:sz w:val="24"/>
          <w:szCs w:val="24"/>
        </w:rPr>
      </w:pPr>
    </w:p>
    <w:p w14:paraId="1EB8F780" w14:textId="77777777" w:rsidR="00046593" w:rsidRDefault="00046593" w:rsidP="00791C81">
      <w:pPr>
        <w:pStyle w:val="BodyText"/>
        <w:ind w:right="-6"/>
        <w:jc w:val="both"/>
        <w:rPr>
          <w:rFonts w:ascii="Arial" w:hAnsi="Arial" w:cs="Arial"/>
          <w:b/>
          <w:bCs/>
          <w:color w:val="002060"/>
          <w:sz w:val="24"/>
          <w:szCs w:val="24"/>
        </w:rPr>
      </w:pPr>
    </w:p>
    <w:p w14:paraId="2C2BA1AB" w14:textId="77777777" w:rsidR="00046593" w:rsidRDefault="00046593" w:rsidP="00791C81">
      <w:pPr>
        <w:pStyle w:val="BodyText"/>
        <w:ind w:right="-6"/>
        <w:jc w:val="both"/>
        <w:rPr>
          <w:rFonts w:ascii="Arial" w:hAnsi="Arial" w:cs="Arial"/>
          <w:b/>
          <w:bCs/>
          <w:color w:val="002060"/>
          <w:sz w:val="24"/>
          <w:szCs w:val="24"/>
        </w:rPr>
      </w:pPr>
    </w:p>
    <w:p w14:paraId="2FEFBC2C" w14:textId="77777777" w:rsidR="00046593" w:rsidRDefault="00046593" w:rsidP="00791C81">
      <w:pPr>
        <w:pStyle w:val="BodyText"/>
        <w:ind w:right="-6"/>
        <w:jc w:val="both"/>
        <w:rPr>
          <w:rFonts w:ascii="Arial" w:hAnsi="Arial" w:cs="Arial"/>
          <w:b/>
          <w:bCs/>
          <w:color w:val="002060"/>
          <w:sz w:val="24"/>
          <w:szCs w:val="24"/>
        </w:rPr>
      </w:pPr>
    </w:p>
    <w:p w14:paraId="367C96AF" w14:textId="77777777" w:rsidR="00046593" w:rsidRDefault="00046593" w:rsidP="00791C81">
      <w:pPr>
        <w:pStyle w:val="BodyText"/>
        <w:ind w:right="-6"/>
        <w:jc w:val="both"/>
        <w:rPr>
          <w:rFonts w:ascii="Arial" w:hAnsi="Arial" w:cs="Arial"/>
          <w:b/>
          <w:bCs/>
          <w:color w:val="002060"/>
          <w:sz w:val="24"/>
          <w:szCs w:val="24"/>
        </w:rPr>
      </w:pPr>
    </w:p>
    <w:p w14:paraId="6E15AAB1" w14:textId="77777777" w:rsidR="00046593" w:rsidRDefault="00046593" w:rsidP="00791C81">
      <w:pPr>
        <w:pStyle w:val="BodyText"/>
        <w:ind w:right="-6"/>
        <w:jc w:val="both"/>
        <w:rPr>
          <w:rFonts w:ascii="Arial" w:hAnsi="Arial" w:cs="Arial"/>
          <w:b/>
          <w:bCs/>
          <w:color w:val="002060"/>
          <w:sz w:val="24"/>
          <w:szCs w:val="24"/>
        </w:rPr>
      </w:pPr>
    </w:p>
    <w:p w14:paraId="16D95196" w14:textId="77777777" w:rsidR="00046593" w:rsidRDefault="00046593" w:rsidP="00791C81">
      <w:pPr>
        <w:pStyle w:val="BodyText"/>
        <w:ind w:right="-6"/>
        <w:jc w:val="both"/>
        <w:rPr>
          <w:rFonts w:ascii="Arial" w:hAnsi="Arial" w:cs="Arial"/>
          <w:b/>
          <w:bCs/>
          <w:color w:val="002060"/>
          <w:sz w:val="24"/>
          <w:szCs w:val="24"/>
        </w:rPr>
      </w:pPr>
    </w:p>
    <w:p w14:paraId="00A7872D" w14:textId="77777777" w:rsidR="00046593" w:rsidRDefault="00046593" w:rsidP="00791C81">
      <w:pPr>
        <w:pStyle w:val="BodyText"/>
        <w:ind w:right="-6"/>
        <w:jc w:val="both"/>
        <w:rPr>
          <w:rFonts w:ascii="Arial" w:hAnsi="Arial" w:cs="Arial"/>
          <w:b/>
          <w:bCs/>
          <w:color w:val="002060"/>
          <w:sz w:val="24"/>
          <w:szCs w:val="24"/>
        </w:rPr>
      </w:pPr>
    </w:p>
    <w:p w14:paraId="3C64FCC9" w14:textId="77777777" w:rsidR="00046593" w:rsidRDefault="00046593" w:rsidP="00791C81">
      <w:pPr>
        <w:pStyle w:val="BodyText"/>
        <w:ind w:right="-6"/>
        <w:jc w:val="both"/>
        <w:rPr>
          <w:rFonts w:ascii="Arial" w:hAnsi="Arial" w:cs="Arial"/>
          <w:b/>
          <w:bCs/>
          <w:color w:val="002060"/>
          <w:sz w:val="24"/>
          <w:szCs w:val="24"/>
        </w:rPr>
      </w:pPr>
    </w:p>
    <w:p w14:paraId="595FAD0A" w14:textId="77777777" w:rsidR="00046593" w:rsidRDefault="00046593" w:rsidP="00791C81">
      <w:pPr>
        <w:pStyle w:val="BodyText"/>
        <w:ind w:right="-6"/>
        <w:jc w:val="both"/>
        <w:rPr>
          <w:rFonts w:ascii="Arial" w:hAnsi="Arial" w:cs="Arial"/>
          <w:b/>
          <w:bCs/>
          <w:color w:val="002060"/>
          <w:sz w:val="24"/>
          <w:szCs w:val="24"/>
        </w:rPr>
      </w:pPr>
    </w:p>
    <w:p w14:paraId="73C1CDD9" w14:textId="77777777" w:rsidR="00046593" w:rsidRDefault="00046593" w:rsidP="00791C81">
      <w:pPr>
        <w:pStyle w:val="BodyText"/>
        <w:ind w:right="-6"/>
        <w:jc w:val="both"/>
        <w:rPr>
          <w:rFonts w:ascii="Arial" w:hAnsi="Arial" w:cs="Arial"/>
          <w:b/>
          <w:bCs/>
          <w:color w:val="002060"/>
          <w:sz w:val="24"/>
          <w:szCs w:val="24"/>
        </w:rPr>
      </w:pPr>
    </w:p>
    <w:p w14:paraId="262BF8C7" w14:textId="77777777" w:rsidR="00046593" w:rsidRDefault="00046593" w:rsidP="00791C81">
      <w:pPr>
        <w:pStyle w:val="BodyText"/>
        <w:ind w:right="-6"/>
        <w:jc w:val="both"/>
        <w:rPr>
          <w:rFonts w:ascii="Arial" w:hAnsi="Arial" w:cs="Arial"/>
          <w:b/>
          <w:bCs/>
          <w:color w:val="002060"/>
          <w:sz w:val="24"/>
          <w:szCs w:val="24"/>
        </w:rPr>
      </w:pPr>
    </w:p>
    <w:p w14:paraId="4384B75F" w14:textId="77777777" w:rsidR="00046593" w:rsidRDefault="00046593" w:rsidP="00791C81">
      <w:pPr>
        <w:pStyle w:val="BodyText"/>
        <w:ind w:right="-6"/>
        <w:jc w:val="both"/>
        <w:rPr>
          <w:rFonts w:ascii="Arial" w:hAnsi="Arial" w:cs="Arial"/>
          <w:b/>
          <w:bCs/>
          <w:color w:val="002060"/>
          <w:sz w:val="24"/>
          <w:szCs w:val="24"/>
        </w:rPr>
      </w:pPr>
    </w:p>
    <w:p w14:paraId="00C8F844" w14:textId="77777777" w:rsidR="00046593" w:rsidRDefault="00046593" w:rsidP="00791C81">
      <w:pPr>
        <w:pStyle w:val="BodyText"/>
        <w:ind w:right="-6"/>
        <w:jc w:val="both"/>
        <w:rPr>
          <w:rFonts w:ascii="Arial" w:hAnsi="Arial" w:cs="Arial"/>
          <w:b/>
          <w:bCs/>
          <w:color w:val="002060"/>
          <w:sz w:val="24"/>
          <w:szCs w:val="24"/>
        </w:rPr>
      </w:pPr>
    </w:p>
    <w:p w14:paraId="5F7AE739" w14:textId="77777777" w:rsidR="00046593" w:rsidRDefault="00046593" w:rsidP="00791C81">
      <w:pPr>
        <w:pStyle w:val="BodyText"/>
        <w:ind w:right="-6"/>
        <w:jc w:val="both"/>
        <w:rPr>
          <w:rFonts w:ascii="Arial" w:hAnsi="Arial" w:cs="Arial"/>
          <w:b/>
          <w:bCs/>
          <w:color w:val="002060"/>
          <w:sz w:val="24"/>
          <w:szCs w:val="24"/>
        </w:rPr>
      </w:pPr>
    </w:p>
    <w:p w14:paraId="2FF9AF4B" w14:textId="32465C7A" w:rsidR="00046593" w:rsidRPr="00046593" w:rsidRDefault="00046593" w:rsidP="00791C81">
      <w:pPr>
        <w:pStyle w:val="BodyText"/>
        <w:ind w:right="-6"/>
        <w:jc w:val="both"/>
        <w:rPr>
          <w:rFonts w:ascii="Arial" w:hAnsi="Arial" w:cs="Arial"/>
          <w:b/>
          <w:bCs/>
          <w:color w:val="002060"/>
          <w:sz w:val="32"/>
          <w:szCs w:val="32"/>
        </w:rPr>
      </w:pPr>
      <w:r w:rsidRPr="00046593">
        <w:rPr>
          <w:rFonts w:ascii="Arial" w:hAnsi="Arial" w:cs="Arial"/>
          <w:b/>
          <w:bCs/>
          <w:color w:val="002060"/>
          <w:sz w:val="32"/>
          <w:szCs w:val="32"/>
        </w:rPr>
        <w:lastRenderedPageBreak/>
        <w:t>Section 4:</w:t>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000000" w:rsidP="00067415">
      <w:pPr>
        <w:jc w:val="both"/>
        <w:rPr>
          <w:rFonts w:ascii="Arial" w:hAnsi="Arial" w:cs="Arial"/>
          <w:b/>
          <w:color w:val="002060"/>
        </w:rPr>
      </w:pPr>
      <w:hyperlink r:id="rId27"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8"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xml:space="preserve"> (UKVI) to work in the UK </w:t>
      </w:r>
      <w:r w:rsidRPr="00403410">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 xml:space="preserve">The information you provide will be retained by NHS Greater Glasgow and Clyde  and will be used for </w:t>
      </w:r>
      <w:r w:rsidRPr="008A52ED">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29"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3F8D7A37" w14:textId="77777777" w:rsidR="008502BD" w:rsidRDefault="00046593" w:rsidP="00046593">
            <w:pPr>
              <w:rPr>
                <w:rFonts w:ascii="Arial" w:hAnsi="Arial" w:cs="Arial"/>
                <w:b/>
                <w:noProof/>
                <w:color w:val="002060"/>
              </w:rPr>
            </w:pPr>
            <w:r>
              <w:rPr>
                <w:rFonts w:ascii="Arial" w:hAnsi="Arial" w:cs="Arial"/>
                <w:b/>
                <w:noProof/>
                <w:color w:val="002060"/>
              </w:rPr>
              <w:t xml:space="preserve">Fixed Term </w:t>
            </w:r>
          </w:p>
          <w:p w14:paraId="6EE6BF0B" w14:textId="425F5316" w:rsidR="00046593" w:rsidRPr="008A52ED" w:rsidRDefault="00046593" w:rsidP="00046593">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556DD539" w:rsidR="008502BD" w:rsidRPr="008A52ED" w:rsidRDefault="00046593" w:rsidP="00067415">
            <w:pPr>
              <w:rPr>
                <w:rFonts w:ascii="Arial" w:hAnsi="Arial" w:cs="Arial"/>
                <w:b/>
                <w:noProof/>
                <w:color w:val="002060"/>
              </w:rPr>
            </w:pPr>
            <w:r>
              <w:rPr>
                <w:rFonts w:ascii="Arial" w:hAnsi="Arial" w:cs="Arial"/>
                <w:b/>
                <w:noProof/>
                <w:color w:val="002060"/>
              </w:rPr>
              <w:t xml:space="preserve">Locum </w:t>
            </w:r>
            <w:r w:rsidR="00855109"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8A52ED">
              <w:rPr>
                <w:rFonts w:ascii="Arial" w:hAnsi="Arial" w:cs="Arial"/>
                <w:color w:val="002060"/>
              </w:rPr>
              <w:t>verified..</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1"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w:t>
      </w:r>
      <w:proofErr w:type="gramStart"/>
      <w:r w:rsidRPr="008A52ED">
        <w:rPr>
          <w:rFonts w:ascii="Arial" w:hAnsi="Arial" w:cs="Arial"/>
          <w:color w:val="002060"/>
        </w:rPr>
        <w:t>addition</w:t>
      </w:r>
      <w:proofErr w:type="gramEnd"/>
      <w:r w:rsidRPr="008A52ED">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patients, their relatives and carers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3"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000000" w:rsidP="00355A44">
      <w:pPr>
        <w:numPr>
          <w:ilvl w:val="0"/>
          <w:numId w:val="10"/>
        </w:numPr>
        <w:ind w:left="490"/>
        <w:rPr>
          <w:rFonts w:ascii="Arial" w:hAnsi="Arial" w:cs="Arial"/>
          <w:color w:val="002060"/>
        </w:rPr>
      </w:pPr>
      <w:hyperlink r:id="rId34"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000000" w:rsidP="00355A44">
      <w:pPr>
        <w:numPr>
          <w:ilvl w:val="0"/>
          <w:numId w:val="10"/>
        </w:numPr>
        <w:ind w:left="490"/>
        <w:rPr>
          <w:rFonts w:ascii="Arial" w:hAnsi="Arial" w:cs="Arial"/>
          <w:color w:val="002060"/>
        </w:rPr>
      </w:pPr>
      <w:hyperlink r:id="rId35"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000000" w:rsidP="00355A44">
      <w:pPr>
        <w:numPr>
          <w:ilvl w:val="0"/>
          <w:numId w:val="10"/>
        </w:numPr>
        <w:ind w:left="490"/>
        <w:rPr>
          <w:rFonts w:ascii="Arial" w:hAnsi="Arial" w:cs="Arial"/>
          <w:color w:val="002060"/>
        </w:rPr>
      </w:pPr>
      <w:hyperlink r:id="rId36"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000000" w:rsidP="00355A44">
      <w:pPr>
        <w:numPr>
          <w:ilvl w:val="0"/>
          <w:numId w:val="10"/>
        </w:numPr>
        <w:ind w:left="490"/>
        <w:rPr>
          <w:rFonts w:ascii="Arial" w:hAnsi="Arial" w:cs="Arial"/>
          <w:color w:val="002060"/>
        </w:rPr>
      </w:pPr>
      <w:hyperlink r:id="rId37"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000000" w:rsidP="00355A44">
      <w:pPr>
        <w:numPr>
          <w:ilvl w:val="0"/>
          <w:numId w:val="10"/>
        </w:numPr>
        <w:ind w:left="490"/>
        <w:rPr>
          <w:rFonts w:ascii="Arial" w:hAnsi="Arial" w:cs="Arial"/>
          <w:color w:val="002060"/>
        </w:rPr>
      </w:pPr>
      <w:hyperlink r:id="rId38" w:tooltip="Lightburn Hospital" w:history="1">
        <w:r w:rsidR="008502BD" w:rsidRPr="008A52ED">
          <w:rPr>
            <w:rFonts w:ascii="Arial" w:hAnsi="Arial" w:cs="Arial"/>
            <w:bCs/>
            <w:color w:val="002060"/>
          </w:rPr>
          <w:t>Lightburn Hospital</w:t>
        </w:r>
      </w:hyperlink>
    </w:p>
    <w:p w14:paraId="25CC94A0" w14:textId="77777777" w:rsidR="008502BD" w:rsidRPr="008A52ED" w:rsidRDefault="00000000" w:rsidP="00355A44">
      <w:pPr>
        <w:numPr>
          <w:ilvl w:val="0"/>
          <w:numId w:val="10"/>
        </w:numPr>
        <w:ind w:left="490"/>
        <w:rPr>
          <w:rFonts w:ascii="Arial" w:hAnsi="Arial" w:cs="Arial"/>
          <w:color w:val="002060"/>
        </w:rPr>
      </w:pPr>
      <w:hyperlink r:id="rId39"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000000" w:rsidP="00355A44">
      <w:pPr>
        <w:numPr>
          <w:ilvl w:val="0"/>
          <w:numId w:val="10"/>
        </w:numPr>
        <w:ind w:left="490"/>
        <w:rPr>
          <w:rFonts w:ascii="Arial" w:hAnsi="Arial" w:cs="Arial"/>
          <w:color w:val="002060"/>
        </w:rPr>
      </w:pPr>
      <w:hyperlink r:id="rId40"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000000" w:rsidP="00355A44">
      <w:pPr>
        <w:numPr>
          <w:ilvl w:val="0"/>
          <w:numId w:val="10"/>
        </w:numPr>
        <w:ind w:left="490"/>
        <w:rPr>
          <w:rFonts w:ascii="Arial" w:hAnsi="Arial" w:cs="Arial"/>
          <w:color w:val="002060"/>
        </w:rPr>
      </w:pPr>
      <w:hyperlink r:id="rId41"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000000" w:rsidP="00355A44">
      <w:pPr>
        <w:numPr>
          <w:ilvl w:val="0"/>
          <w:numId w:val="10"/>
        </w:numPr>
        <w:ind w:left="490"/>
        <w:rPr>
          <w:rFonts w:ascii="Arial" w:hAnsi="Arial" w:cs="Arial"/>
          <w:color w:val="002060"/>
        </w:rPr>
      </w:pPr>
      <w:hyperlink r:id="rId42"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000000" w:rsidP="00067415">
      <w:pPr>
        <w:numPr>
          <w:ilvl w:val="0"/>
          <w:numId w:val="15"/>
        </w:numPr>
        <w:rPr>
          <w:rFonts w:ascii="Arial" w:hAnsi="Arial" w:cs="Arial"/>
          <w:color w:val="002060"/>
        </w:rPr>
      </w:pPr>
      <w:hyperlink r:id="rId43" w:tooltip="New Stobhill Hospital" w:history="1">
        <w:r w:rsidR="008502BD" w:rsidRPr="008A52ED">
          <w:rPr>
            <w:rFonts w:ascii="Arial" w:hAnsi="Arial" w:cs="Arial"/>
            <w:bCs/>
            <w:color w:val="002060"/>
          </w:rPr>
          <w:t>New Stobhill Hospital</w:t>
        </w:r>
      </w:hyperlink>
    </w:p>
    <w:p w14:paraId="0A0FDF4E" w14:textId="77777777" w:rsidR="008502BD" w:rsidRPr="008A52ED" w:rsidRDefault="00000000" w:rsidP="00067415">
      <w:pPr>
        <w:numPr>
          <w:ilvl w:val="0"/>
          <w:numId w:val="15"/>
        </w:numPr>
        <w:rPr>
          <w:rFonts w:ascii="Arial" w:hAnsi="Arial" w:cs="Arial"/>
          <w:color w:val="002060"/>
        </w:rPr>
      </w:pPr>
      <w:hyperlink r:id="rId44"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000000" w:rsidP="00067415">
      <w:pPr>
        <w:numPr>
          <w:ilvl w:val="0"/>
          <w:numId w:val="15"/>
        </w:numPr>
        <w:rPr>
          <w:rFonts w:ascii="Arial" w:hAnsi="Arial" w:cs="Arial"/>
          <w:color w:val="002060"/>
        </w:rPr>
      </w:pPr>
      <w:hyperlink r:id="rId45"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8A52ED">
        <w:rPr>
          <w:rFonts w:ascii="Arial" w:hAnsi="Arial" w:cs="Arial"/>
          <w:color w:val="002060"/>
        </w:rPr>
        <w:t>Professionals</w:t>
      </w:r>
      <w:proofErr w:type="gramEnd"/>
      <w:r w:rsidR="008502BD" w:rsidRPr="008A52ED">
        <w:rPr>
          <w:rFonts w:ascii="Arial" w:hAnsi="Arial" w:cs="Arial"/>
          <w:color w:val="002060"/>
        </w:rPr>
        <w:t xml:space="preserve"> and all other NHS staff groups. For more information on the </w:t>
      </w:r>
      <w:hyperlink r:id="rId46"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7"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8"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49"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000000" w:rsidP="00067415">
      <w:pPr>
        <w:spacing w:before="300" w:after="300"/>
        <w:outlineLvl w:val="0"/>
        <w:rPr>
          <w:rFonts w:ascii="Arial" w:hAnsi="Arial" w:cs="Arial"/>
          <w:b/>
          <w:bCs/>
          <w:color w:val="002060"/>
          <w:kern w:val="36"/>
        </w:rPr>
      </w:pPr>
      <w:hyperlink r:id="rId50"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1"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2"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lastRenderedPageBreak/>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4"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000000" w:rsidP="00067415">
      <w:pPr>
        <w:pStyle w:val="Default"/>
        <w:rPr>
          <w:b/>
          <w:color w:val="002060"/>
        </w:rPr>
      </w:pPr>
      <w:hyperlink r:id="rId56"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000000" w:rsidP="00067415">
      <w:pPr>
        <w:pStyle w:val="Default"/>
        <w:rPr>
          <w:b/>
          <w:color w:val="002060"/>
        </w:rPr>
      </w:pPr>
      <w:hyperlink r:id="rId57"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000000" w:rsidP="00067415">
      <w:pPr>
        <w:pStyle w:val="Default"/>
        <w:rPr>
          <w:b/>
          <w:color w:val="002060"/>
        </w:rPr>
      </w:pPr>
      <w:hyperlink r:id="rId58"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8FA9" w14:textId="77777777" w:rsidR="00533A4C" w:rsidRDefault="00533A4C">
      <w:r>
        <w:separator/>
      </w:r>
    </w:p>
  </w:endnote>
  <w:endnote w:type="continuationSeparator" w:id="0">
    <w:p w14:paraId="7FC3AC9F" w14:textId="77777777" w:rsidR="00533A4C" w:rsidRDefault="0053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1C69" w14:textId="77777777" w:rsidR="00533A4C" w:rsidRDefault="00533A4C">
      <w:r>
        <w:separator/>
      </w:r>
    </w:p>
  </w:footnote>
  <w:footnote w:type="continuationSeparator" w:id="0">
    <w:p w14:paraId="104C6BC1" w14:textId="77777777" w:rsidR="00533A4C" w:rsidRDefault="00533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4"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402292409">
    <w:abstractNumId w:val="0"/>
  </w:num>
  <w:num w:numId="2" w16cid:durableId="873156289">
    <w:abstractNumId w:val="0"/>
  </w:num>
  <w:num w:numId="3" w16cid:durableId="241834549">
    <w:abstractNumId w:val="0"/>
  </w:num>
  <w:num w:numId="4" w16cid:durableId="1885826630">
    <w:abstractNumId w:val="0"/>
  </w:num>
  <w:num w:numId="5" w16cid:durableId="1558322789">
    <w:abstractNumId w:val="0"/>
  </w:num>
  <w:num w:numId="6" w16cid:durableId="100996106">
    <w:abstractNumId w:val="0"/>
  </w:num>
  <w:num w:numId="7" w16cid:durableId="1503623946">
    <w:abstractNumId w:val="0"/>
  </w:num>
  <w:num w:numId="8" w16cid:durableId="1771512090">
    <w:abstractNumId w:val="27"/>
  </w:num>
  <w:num w:numId="9" w16cid:durableId="1527793381">
    <w:abstractNumId w:val="19"/>
  </w:num>
  <w:num w:numId="10" w16cid:durableId="2131239165">
    <w:abstractNumId w:val="2"/>
  </w:num>
  <w:num w:numId="11" w16cid:durableId="1401366810">
    <w:abstractNumId w:val="25"/>
  </w:num>
  <w:num w:numId="12" w16cid:durableId="434062503">
    <w:abstractNumId w:val="21"/>
  </w:num>
  <w:num w:numId="13" w16cid:durableId="996035066">
    <w:abstractNumId w:val="13"/>
  </w:num>
  <w:num w:numId="14" w16cid:durableId="813523498">
    <w:abstractNumId w:val="16"/>
  </w:num>
  <w:num w:numId="15" w16cid:durableId="307635840">
    <w:abstractNumId w:val="14"/>
  </w:num>
  <w:num w:numId="16" w16cid:durableId="9201370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87238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6890308">
    <w:abstractNumId w:val="12"/>
  </w:num>
  <w:num w:numId="19" w16cid:durableId="200244729">
    <w:abstractNumId w:val="7"/>
  </w:num>
  <w:num w:numId="20" w16cid:durableId="393310208">
    <w:abstractNumId w:val="26"/>
  </w:num>
  <w:num w:numId="21" w16cid:durableId="1761559841">
    <w:abstractNumId w:val="24"/>
  </w:num>
  <w:num w:numId="22" w16cid:durableId="629897477">
    <w:abstractNumId w:val="22"/>
  </w:num>
  <w:num w:numId="23" w16cid:durableId="1369991492">
    <w:abstractNumId w:val="8"/>
  </w:num>
  <w:num w:numId="24" w16cid:durableId="1346126711">
    <w:abstractNumId w:val="5"/>
  </w:num>
  <w:num w:numId="25" w16cid:durableId="1379816622">
    <w:abstractNumId w:val="11"/>
  </w:num>
  <w:num w:numId="26" w16cid:durableId="1511791745">
    <w:abstractNumId w:val="6"/>
  </w:num>
  <w:num w:numId="27" w16cid:durableId="490609584">
    <w:abstractNumId w:val="20"/>
  </w:num>
  <w:num w:numId="28" w16cid:durableId="889531755">
    <w:abstractNumId w:val="18"/>
  </w:num>
  <w:num w:numId="29" w16cid:durableId="1187478586">
    <w:abstractNumId w:val="1"/>
  </w:num>
  <w:num w:numId="30" w16cid:durableId="528448827">
    <w:abstractNumId w:val="15"/>
  </w:num>
  <w:num w:numId="31" w16cid:durableId="488402529">
    <w:abstractNumId w:val="23"/>
  </w:num>
  <w:num w:numId="32" w16cid:durableId="1982886194">
    <w:abstractNumId w:val="17"/>
  </w:num>
  <w:num w:numId="33" w16cid:durableId="1488127176">
    <w:abstractNumId w:val="3"/>
  </w:num>
  <w:num w:numId="34" w16cid:durableId="194414831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46593"/>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33A4C"/>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7273</Words>
  <Characters>41457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2023-08-10T12:30:00Z</dcterms:created>
  <dcterms:modified xsi:type="dcterms:W3CDTF">2023-08-10T12:30:00Z</dcterms:modified>
</cp:coreProperties>
</file>