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2B30D8" w:rsidRDefault="00E30E13" w:rsidP="00315293">
      <w:pPr>
        <w:ind w:right="-897"/>
        <w:jc w:val="right"/>
        <w:rPr>
          <w:rFonts w:ascii="Calibri" w:hAnsi="Calibri" w:cs="Arial"/>
          <w:color w:val="002060"/>
          <w:sz w:val="22"/>
          <w:szCs w:val="22"/>
        </w:rPr>
      </w:pPr>
      <w:r w:rsidRPr="002B30D8">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2B30D8" w:rsidRDefault="008502BD" w:rsidP="00315293">
      <w:pPr>
        <w:ind w:right="-897"/>
        <w:rPr>
          <w:rFonts w:ascii="Calibri" w:hAnsi="Calibri" w:cs="Arial"/>
          <w:b/>
          <w:color w:val="002060"/>
          <w:sz w:val="48"/>
          <w:szCs w:val="48"/>
        </w:rPr>
      </w:pPr>
      <w:r w:rsidRPr="002B30D8">
        <w:rPr>
          <w:rFonts w:ascii="Calibri" w:hAnsi="Calibri" w:cs="Arial"/>
          <w:b/>
          <w:color w:val="002060"/>
          <w:sz w:val="48"/>
          <w:szCs w:val="48"/>
        </w:rPr>
        <w:t xml:space="preserve">WELCOME TO </w:t>
      </w:r>
    </w:p>
    <w:p w14:paraId="72D7EED6" w14:textId="77777777" w:rsidR="008502BD" w:rsidRPr="002B30D8" w:rsidRDefault="008502BD" w:rsidP="00315293">
      <w:pPr>
        <w:ind w:right="-897"/>
        <w:rPr>
          <w:rFonts w:ascii="Calibri" w:hAnsi="Calibri" w:cs="Arial"/>
          <w:b/>
          <w:color w:val="002060"/>
          <w:sz w:val="48"/>
          <w:szCs w:val="48"/>
        </w:rPr>
      </w:pPr>
      <w:r w:rsidRPr="002B30D8">
        <w:rPr>
          <w:rFonts w:ascii="Calibri" w:hAnsi="Calibri" w:cs="Arial"/>
          <w:b/>
          <w:color w:val="002060"/>
          <w:sz w:val="48"/>
          <w:szCs w:val="48"/>
        </w:rPr>
        <w:t xml:space="preserve">NHS GREATER GLASGOW AND CLYDE </w:t>
      </w:r>
    </w:p>
    <w:p w14:paraId="60F27CDA" w14:textId="77777777" w:rsidR="008502BD" w:rsidRPr="002B30D8" w:rsidRDefault="008502BD" w:rsidP="00315293">
      <w:pPr>
        <w:ind w:right="-897"/>
        <w:rPr>
          <w:rFonts w:ascii="Calibri" w:hAnsi="Calibri" w:cs="Arial"/>
          <w:b/>
          <w:color w:val="002060"/>
          <w:sz w:val="48"/>
          <w:szCs w:val="48"/>
        </w:rPr>
      </w:pPr>
      <w:r w:rsidRPr="002B30D8">
        <w:rPr>
          <w:rFonts w:ascii="Calibri" w:hAnsi="Calibri" w:cs="Arial"/>
          <w:b/>
          <w:color w:val="002060"/>
          <w:sz w:val="48"/>
          <w:szCs w:val="48"/>
        </w:rPr>
        <w:t xml:space="preserve">CANDIDATE INFORMATION PACK </w:t>
      </w:r>
    </w:p>
    <w:p w14:paraId="51ACB3CD" w14:textId="77777777" w:rsidR="008502BD" w:rsidRPr="002B30D8" w:rsidRDefault="008502BD" w:rsidP="00315293">
      <w:pPr>
        <w:ind w:right="-897"/>
        <w:rPr>
          <w:rFonts w:ascii="Calibri" w:hAnsi="Calibri" w:cs="Arial"/>
          <w:b/>
          <w:color w:val="002060"/>
          <w:sz w:val="48"/>
          <w:szCs w:val="22"/>
        </w:rPr>
      </w:pPr>
    </w:p>
    <w:p w14:paraId="697A9BEF" w14:textId="77777777" w:rsidR="008502BD" w:rsidRPr="002B30D8" w:rsidRDefault="008502BD" w:rsidP="00315293">
      <w:pPr>
        <w:ind w:right="-897"/>
        <w:rPr>
          <w:rFonts w:ascii="Calibri" w:hAnsi="Calibri" w:cs="Arial"/>
          <w:b/>
          <w:color w:val="002060"/>
          <w:sz w:val="48"/>
          <w:szCs w:val="22"/>
        </w:rPr>
      </w:pPr>
    </w:p>
    <w:p w14:paraId="1FBCFF36" w14:textId="6B8AFF69" w:rsidR="009241F2" w:rsidRPr="002B30D8" w:rsidRDefault="00C92639" w:rsidP="00315293">
      <w:pPr>
        <w:ind w:right="-897"/>
        <w:rPr>
          <w:rFonts w:ascii="Calibri" w:hAnsi="Calibri" w:cs="Arial"/>
          <w:b/>
          <w:color w:val="002060"/>
          <w:sz w:val="48"/>
          <w:szCs w:val="22"/>
        </w:rPr>
      </w:pPr>
      <w:r w:rsidRPr="002B30D8">
        <w:rPr>
          <w:rFonts w:ascii="Calibri" w:hAnsi="Calibri" w:cs="Arial"/>
          <w:b/>
          <w:color w:val="002060"/>
          <w:sz w:val="48"/>
          <w:szCs w:val="22"/>
        </w:rPr>
        <w:t>Title:</w:t>
      </w:r>
      <w:r w:rsidR="002B30D8" w:rsidRPr="002B30D8">
        <w:rPr>
          <w:rFonts w:ascii="Calibri" w:hAnsi="Calibri" w:cs="Arial"/>
          <w:b/>
          <w:color w:val="002060"/>
          <w:sz w:val="48"/>
          <w:szCs w:val="22"/>
        </w:rPr>
        <w:t xml:space="preserve"> Locum</w:t>
      </w:r>
      <w:r w:rsidRPr="002B30D8">
        <w:rPr>
          <w:rFonts w:ascii="Calibri" w:hAnsi="Calibri" w:cs="Arial"/>
          <w:b/>
          <w:color w:val="002060"/>
          <w:sz w:val="48"/>
          <w:szCs w:val="22"/>
        </w:rPr>
        <w:t xml:space="preserve"> </w:t>
      </w:r>
      <w:r w:rsidR="008A52ED" w:rsidRPr="002B30D8">
        <w:rPr>
          <w:rFonts w:ascii="Calibri" w:hAnsi="Calibri" w:cs="Arial"/>
          <w:b/>
          <w:color w:val="002060"/>
          <w:sz w:val="48"/>
          <w:szCs w:val="22"/>
        </w:rPr>
        <w:t>Consultant in</w:t>
      </w:r>
      <w:r w:rsidR="002B30D8" w:rsidRPr="002B30D8">
        <w:rPr>
          <w:rFonts w:ascii="Calibri" w:hAnsi="Calibri" w:cs="Arial"/>
          <w:b/>
          <w:color w:val="002060"/>
          <w:sz w:val="48"/>
          <w:szCs w:val="22"/>
        </w:rPr>
        <w:t xml:space="preserve"> Rheumatology </w:t>
      </w:r>
      <w:r w:rsidR="008A52ED" w:rsidRPr="002B30D8">
        <w:rPr>
          <w:rFonts w:ascii="Calibri" w:hAnsi="Calibri" w:cs="Arial"/>
          <w:b/>
          <w:color w:val="002060"/>
          <w:sz w:val="48"/>
          <w:szCs w:val="22"/>
        </w:rPr>
        <w:t xml:space="preserve"> </w:t>
      </w:r>
    </w:p>
    <w:p w14:paraId="309776DC" w14:textId="411DFDFE" w:rsidR="008502BD" w:rsidRPr="002B30D8" w:rsidRDefault="008502BD" w:rsidP="00315293">
      <w:pPr>
        <w:ind w:right="-897"/>
        <w:rPr>
          <w:rFonts w:ascii="Calibri" w:hAnsi="Calibri" w:cs="Arial"/>
          <w:b/>
          <w:color w:val="002060"/>
          <w:sz w:val="48"/>
          <w:szCs w:val="22"/>
        </w:rPr>
      </w:pPr>
      <w:r w:rsidRPr="002B30D8">
        <w:rPr>
          <w:rFonts w:ascii="Calibri" w:hAnsi="Calibri" w:cs="Arial"/>
          <w:b/>
          <w:color w:val="002060"/>
          <w:sz w:val="48"/>
          <w:szCs w:val="22"/>
        </w:rPr>
        <w:t>Location:</w:t>
      </w:r>
      <w:r w:rsidR="00672F8B" w:rsidRPr="002B30D8">
        <w:rPr>
          <w:rFonts w:ascii="Calibri" w:hAnsi="Calibri" w:cs="Arial"/>
          <w:b/>
          <w:color w:val="002060"/>
          <w:sz w:val="48"/>
          <w:szCs w:val="22"/>
        </w:rPr>
        <w:t xml:space="preserve"> </w:t>
      </w:r>
      <w:r w:rsidR="002B30D8">
        <w:rPr>
          <w:rFonts w:ascii="Calibri" w:hAnsi="Calibri" w:cs="Arial"/>
          <w:b/>
          <w:color w:val="002060"/>
          <w:sz w:val="48"/>
          <w:szCs w:val="22"/>
        </w:rPr>
        <w:t>GG&amp;C North Sector – Glasgow Royal Infirmary &amp; Stobhill ACH</w:t>
      </w:r>
    </w:p>
    <w:p w14:paraId="3DB7B143" w14:textId="6B3F2444" w:rsidR="009241F2" w:rsidRPr="002B30D8" w:rsidRDefault="009241F2" w:rsidP="00315293">
      <w:pPr>
        <w:ind w:right="-897"/>
        <w:rPr>
          <w:rFonts w:ascii="Calibri" w:hAnsi="Calibri" w:cs="Arial"/>
          <w:b/>
          <w:color w:val="002060"/>
          <w:sz w:val="48"/>
          <w:szCs w:val="22"/>
        </w:rPr>
      </w:pPr>
      <w:r w:rsidRPr="002B30D8">
        <w:rPr>
          <w:rFonts w:ascii="Calibri" w:hAnsi="Calibri" w:cs="Arial"/>
          <w:b/>
          <w:color w:val="002060"/>
          <w:sz w:val="48"/>
          <w:szCs w:val="22"/>
        </w:rPr>
        <w:t>Job Reference:</w:t>
      </w:r>
      <w:r w:rsidR="00294E61" w:rsidRPr="002B30D8">
        <w:rPr>
          <w:rFonts w:ascii="Calibri" w:hAnsi="Calibri" w:cs="Arial"/>
          <w:b/>
          <w:color w:val="002060"/>
          <w:sz w:val="48"/>
          <w:szCs w:val="22"/>
        </w:rPr>
        <w:t xml:space="preserve"> </w:t>
      </w:r>
      <w:r w:rsidR="002B30D8" w:rsidRPr="002B30D8">
        <w:rPr>
          <w:rFonts w:ascii="Calibri" w:hAnsi="Calibri" w:cs="Arial"/>
          <w:b/>
          <w:color w:val="002060"/>
          <w:sz w:val="48"/>
          <w:szCs w:val="22"/>
        </w:rPr>
        <w:t>161051</w:t>
      </w:r>
    </w:p>
    <w:p w14:paraId="4B181AED" w14:textId="641AD1B4" w:rsidR="008502BD" w:rsidRPr="002B30D8" w:rsidRDefault="008502BD" w:rsidP="004C54E6">
      <w:pPr>
        <w:ind w:right="-897"/>
        <w:rPr>
          <w:rFonts w:ascii="Calibri" w:hAnsi="Calibri" w:cs="Arial"/>
          <w:b/>
          <w:color w:val="002060"/>
          <w:sz w:val="48"/>
          <w:szCs w:val="22"/>
        </w:rPr>
      </w:pPr>
      <w:r w:rsidRPr="002B30D8">
        <w:rPr>
          <w:rFonts w:ascii="Calibri" w:hAnsi="Calibri" w:cs="Arial"/>
          <w:b/>
          <w:color w:val="002060"/>
          <w:sz w:val="48"/>
          <w:szCs w:val="22"/>
        </w:rPr>
        <w:t xml:space="preserve">Closing Date: </w:t>
      </w:r>
      <w:r w:rsidR="002B30D8" w:rsidRPr="002B30D8">
        <w:rPr>
          <w:rFonts w:ascii="Calibri" w:hAnsi="Calibri" w:cs="Arial"/>
          <w:b/>
          <w:color w:val="002060"/>
          <w:sz w:val="48"/>
          <w:szCs w:val="22"/>
        </w:rPr>
        <w:t>19</w:t>
      </w:r>
      <w:r w:rsidR="002B30D8" w:rsidRPr="002B30D8">
        <w:rPr>
          <w:rFonts w:ascii="Calibri" w:hAnsi="Calibri" w:cs="Arial"/>
          <w:b/>
          <w:color w:val="002060"/>
          <w:sz w:val="48"/>
          <w:szCs w:val="22"/>
          <w:vertAlign w:val="superscript"/>
        </w:rPr>
        <w:t>th</w:t>
      </w:r>
      <w:r w:rsidR="002B30D8" w:rsidRPr="002B30D8">
        <w:rPr>
          <w:rFonts w:ascii="Calibri" w:hAnsi="Calibri" w:cs="Arial"/>
          <w:b/>
          <w:color w:val="002060"/>
          <w:sz w:val="48"/>
          <w:szCs w:val="22"/>
        </w:rPr>
        <w:t xml:space="preserve"> September 2023</w:t>
      </w:r>
    </w:p>
    <w:p w14:paraId="76CDC9CA" w14:textId="345E23DD" w:rsidR="008A52ED" w:rsidRPr="002B30D8" w:rsidRDefault="008A52ED" w:rsidP="004C54E6">
      <w:pPr>
        <w:ind w:right="-897"/>
        <w:rPr>
          <w:rFonts w:ascii="Calibri" w:hAnsi="Calibri" w:cs="Arial"/>
          <w:b/>
          <w:color w:val="002060"/>
          <w:sz w:val="48"/>
          <w:szCs w:val="22"/>
        </w:rPr>
      </w:pPr>
    </w:p>
    <w:p w14:paraId="4FC34677" w14:textId="75036B44" w:rsidR="008502BD" w:rsidRPr="002B30D8" w:rsidRDefault="005A0033" w:rsidP="004C54E6">
      <w:pPr>
        <w:ind w:right="-897"/>
        <w:rPr>
          <w:rFonts w:ascii="Calibri" w:hAnsi="Calibri" w:cs="Arial"/>
          <w:b/>
          <w:color w:val="002060"/>
        </w:rPr>
        <w:sectPr w:rsidR="008502BD" w:rsidRPr="002B30D8"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2B30D8">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2B30D8">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2B30D8" w:rsidRDefault="00312CB8" w:rsidP="00315293">
      <w:pPr>
        <w:rPr>
          <w:rFonts w:ascii="Arial" w:hAnsi="Arial" w:cs="Arial"/>
          <w:b/>
          <w:color w:val="002060"/>
          <w:sz w:val="32"/>
        </w:rPr>
      </w:pPr>
    </w:p>
    <w:p w14:paraId="07041AAA" w14:textId="77777777" w:rsidR="00312CB8" w:rsidRPr="002B30D8" w:rsidRDefault="00312CB8" w:rsidP="00315293">
      <w:pPr>
        <w:rPr>
          <w:rFonts w:ascii="Arial" w:hAnsi="Arial" w:cs="Arial"/>
          <w:b/>
          <w:color w:val="002060"/>
          <w:sz w:val="32"/>
        </w:rPr>
      </w:pPr>
    </w:p>
    <w:p w14:paraId="437FA561" w14:textId="77777777" w:rsidR="00312CB8" w:rsidRPr="002B30D8" w:rsidRDefault="00312CB8" w:rsidP="00315293">
      <w:pPr>
        <w:rPr>
          <w:rFonts w:ascii="Arial" w:hAnsi="Arial" w:cs="Arial"/>
          <w:b/>
          <w:color w:val="002060"/>
          <w:sz w:val="32"/>
        </w:rPr>
      </w:pPr>
    </w:p>
    <w:p w14:paraId="12F847DE" w14:textId="77777777" w:rsidR="00312CB8" w:rsidRPr="002B30D8" w:rsidRDefault="00312CB8" w:rsidP="00315293">
      <w:pPr>
        <w:rPr>
          <w:rFonts w:ascii="Arial" w:hAnsi="Arial" w:cs="Arial"/>
          <w:b/>
          <w:color w:val="002060"/>
          <w:sz w:val="32"/>
        </w:rPr>
      </w:pPr>
    </w:p>
    <w:p w14:paraId="59E9CA04" w14:textId="77777777" w:rsidR="00312CB8" w:rsidRPr="002B30D8" w:rsidRDefault="00312CB8" w:rsidP="00315293">
      <w:pPr>
        <w:rPr>
          <w:rFonts w:ascii="Arial" w:hAnsi="Arial" w:cs="Arial"/>
          <w:b/>
          <w:color w:val="002060"/>
          <w:sz w:val="32"/>
        </w:rPr>
      </w:pPr>
    </w:p>
    <w:p w14:paraId="78F7E865" w14:textId="77777777" w:rsidR="00312CB8" w:rsidRPr="002B30D8" w:rsidRDefault="00312CB8" w:rsidP="00315293">
      <w:pPr>
        <w:rPr>
          <w:rFonts w:ascii="Arial" w:hAnsi="Arial" w:cs="Arial"/>
          <w:b/>
          <w:color w:val="002060"/>
          <w:sz w:val="32"/>
        </w:rPr>
      </w:pPr>
    </w:p>
    <w:p w14:paraId="599B6EF0" w14:textId="77777777" w:rsidR="00312CB8" w:rsidRPr="002B30D8" w:rsidRDefault="00312CB8" w:rsidP="00315293">
      <w:pPr>
        <w:rPr>
          <w:rFonts w:ascii="Arial" w:hAnsi="Arial" w:cs="Arial"/>
          <w:b/>
          <w:color w:val="002060"/>
          <w:sz w:val="32"/>
        </w:rPr>
      </w:pPr>
    </w:p>
    <w:p w14:paraId="3AFBDDF5" w14:textId="77777777" w:rsidR="00312CB8" w:rsidRPr="002B30D8" w:rsidRDefault="00312CB8" w:rsidP="00315293">
      <w:pPr>
        <w:rPr>
          <w:rFonts w:ascii="Arial" w:hAnsi="Arial" w:cs="Arial"/>
          <w:b/>
          <w:color w:val="002060"/>
          <w:sz w:val="32"/>
        </w:rPr>
      </w:pPr>
    </w:p>
    <w:p w14:paraId="6B7EC1A4" w14:textId="77777777" w:rsidR="00312CB8" w:rsidRPr="002B30D8" w:rsidRDefault="00312CB8" w:rsidP="00315293">
      <w:pPr>
        <w:rPr>
          <w:rFonts w:ascii="Arial" w:hAnsi="Arial" w:cs="Arial"/>
          <w:b/>
          <w:color w:val="002060"/>
          <w:sz w:val="32"/>
        </w:rPr>
      </w:pPr>
    </w:p>
    <w:p w14:paraId="78D78EE9" w14:textId="77777777" w:rsidR="00312CB8" w:rsidRPr="002B30D8" w:rsidRDefault="00312CB8" w:rsidP="00315293">
      <w:pPr>
        <w:rPr>
          <w:rFonts w:ascii="Arial" w:hAnsi="Arial" w:cs="Arial"/>
          <w:b/>
          <w:color w:val="002060"/>
          <w:sz w:val="32"/>
        </w:rPr>
      </w:pPr>
    </w:p>
    <w:p w14:paraId="009274DD" w14:textId="77777777" w:rsidR="00312CB8" w:rsidRPr="002B30D8" w:rsidRDefault="00312CB8" w:rsidP="00315293">
      <w:pPr>
        <w:rPr>
          <w:rFonts w:ascii="Arial" w:hAnsi="Arial" w:cs="Arial"/>
          <w:b/>
          <w:color w:val="002060"/>
          <w:sz w:val="32"/>
        </w:rPr>
      </w:pPr>
    </w:p>
    <w:p w14:paraId="0D99EB46" w14:textId="77777777" w:rsidR="00312CB8" w:rsidRPr="002B30D8" w:rsidRDefault="00312CB8" w:rsidP="00315293">
      <w:pPr>
        <w:rPr>
          <w:rFonts w:ascii="Arial" w:hAnsi="Arial" w:cs="Arial"/>
          <w:b/>
          <w:color w:val="002060"/>
          <w:sz w:val="32"/>
        </w:rPr>
      </w:pPr>
    </w:p>
    <w:p w14:paraId="64E39D9E" w14:textId="77777777" w:rsidR="00312CB8" w:rsidRPr="002B30D8" w:rsidRDefault="00312CB8" w:rsidP="00315293">
      <w:pPr>
        <w:rPr>
          <w:rFonts w:ascii="Arial" w:hAnsi="Arial" w:cs="Arial"/>
          <w:b/>
          <w:color w:val="002060"/>
          <w:sz w:val="32"/>
        </w:rPr>
      </w:pPr>
    </w:p>
    <w:p w14:paraId="0B229CCB" w14:textId="77777777" w:rsidR="00312CB8" w:rsidRPr="002B30D8" w:rsidRDefault="00312CB8" w:rsidP="00315293">
      <w:pPr>
        <w:rPr>
          <w:rFonts w:ascii="Arial" w:hAnsi="Arial" w:cs="Arial"/>
          <w:b/>
          <w:color w:val="002060"/>
          <w:sz w:val="32"/>
        </w:rPr>
      </w:pPr>
    </w:p>
    <w:p w14:paraId="49E5C035" w14:textId="77777777" w:rsidR="00312CB8" w:rsidRPr="002B30D8" w:rsidRDefault="00312CB8" w:rsidP="00315293">
      <w:pPr>
        <w:rPr>
          <w:rFonts w:ascii="Arial" w:hAnsi="Arial" w:cs="Arial"/>
          <w:b/>
          <w:color w:val="002060"/>
          <w:sz w:val="32"/>
        </w:rPr>
      </w:pPr>
    </w:p>
    <w:p w14:paraId="0E0B8E65" w14:textId="77777777" w:rsidR="00312CB8" w:rsidRPr="002B30D8" w:rsidRDefault="00312CB8" w:rsidP="00315293">
      <w:pPr>
        <w:rPr>
          <w:rFonts w:ascii="Arial" w:hAnsi="Arial" w:cs="Arial"/>
          <w:b/>
          <w:color w:val="002060"/>
          <w:sz w:val="32"/>
        </w:rPr>
      </w:pPr>
    </w:p>
    <w:p w14:paraId="6C6263B3" w14:textId="77777777" w:rsidR="00312CB8" w:rsidRPr="002B30D8" w:rsidRDefault="00312CB8" w:rsidP="00315293">
      <w:pPr>
        <w:rPr>
          <w:rFonts w:ascii="Arial" w:hAnsi="Arial" w:cs="Arial"/>
          <w:b/>
          <w:color w:val="002060"/>
          <w:sz w:val="32"/>
        </w:rPr>
      </w:pPr>
    </w:p>
    <w:p w14:paraId="1597ADE9" w14:textId="77777777" w:rsidR="00312CB8" w:rsidRPr="002B30D8" w:rsidRDefault="00312CB8" w:rsidP="00315293">
      <w:pPr>
        <w:rPr>
          <w:rFonts w:ascii="Arial" w:hAnsi="Arial" w:cs="Arial"/>
          <w:b/>
          <w:color w:val="002060"/>
          <w:sz w:val="32"/>
        </w:rPr>
      </w:pPr>
    </w:p>
    <w:p w14:paraId="76F77C10" w14:textId="77777777" w:rsidR="00312CB8" w:rsidRPr="002B30D8" w:rsidRDefault="00312CB8" w:rsidP="00315293">
      <w:pPr>
        <w:rPr>
          <w:rFonts w:ascii="Arial" w:hAnsi="Arial" w:cs="Arial"/>
          <w:b/>
          <w:color w:val="002060"/>
          <w:sz w:val="32"/>
        </w:rPr>
      </w:pPr>
    </w:p>
    <w:p w14:paraId="0F5F6967" w14:textId="77777777" w:rsidR="00312CB8" w:rsidRPr="002B30D8" w:rsidRDefault="00312CB8" w:rsidP="00315293">
      <w:pPr>
        <w:rPr>
          <w:rFonts w:ascii="Arial" w:hAnsi="Arial" w:cs="Arial"/>
          <w:b/>
          <w:color w:val="002060"/>
          <w:sz w:val="32"/>
        </w:rPr>
      </w:pPr>
    </w:p>
    <w:p w14:paraId="5A5B43FF" w14:textId="77777777" w:rsidR="008502BD" w:rsidRPr="002B30D8" w:rsidRDefault="008502BD" w:rsidP="00315293">
      <w:pPr>
        <w:rPr>
          <w:rFonts w:ascii="Arial" w:hAnsi="Arial" w:cs="Arial"/>
          <w:b/>
          <w:color w:val="002060"/>
          <w:sz w:val="32"/>
        </w:rPr>
      </w:pPr>
      <w:r w:rsidRPr="002B30D8">
        <w:rPr>
          <w:rFonts w:ascii="Arial" w:hAnsi="Arial" w:cs="Arial"/>
          <w:b/>
          <w:color w:val="002060"/>
          <w:sz w:val="32"/>
        </w:rPr>
        <w:t>Contents</w:t>
      </w:r>
    </w:p>
    <w:p w14:paraId="7A4C7496" w14:textId="77777777" w:rsidR="008502BD" w:rsidRPr="002B30D8"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2B30D8" w:rsidRPr="002B30D8" w14:paraId="2D3E4457" w14:textId="77777777" w:rsidTr="002B30D8">
        <w:tc>
          <w:tcPr>
            <w:tcW w:w="1636" w:type="dxa"/>
            <w:shd w:val="clear" w:color="auto" w:fill="002060"/>
          </w:tcPr>
          <w:p w14:paraId="62218E5C" w14:textId="77777777" w:rsidR="008502BD" w:rsidRPr="002B30D8" w:rsidRDefault="008502BD" w:rsidP="00315293">
            <w:pPr>
              <w:rPr>
                <w:rFonts w:ascii="Arial" w:hAnsi="Arial" w:cs="Arial"/>
                <w:b/>
                <w:color w:val="002060"/>
              </w:rPr>
            </w:pPr>
            <w:r w:rsidRPr="002B30D8">
              <w:rPr>
                <w:rFonts w:ascii="Arial" w:hAnsi="Arial" w:cs="Arial"/>
                <w:b/>
                <w:color w:val="002060"/>
              </w:rPr>
              <w:t>Section</w:t>
            </w:r>
          </w:p>
        </w:tc>
        <w:tc>
          <w:tcPr>
            <w:tcW w:w="7581" w:type="dxa"/>
            <w:shd w:val="clear" w:color="auto" w:fill="002060"/>
          </w:tcPr>
          <w:p w14:paraId="3C5F409B" w14:textId="77777777" w:rsidR="008502BD" w:rsidRPr="002B30D8" w:rsidRDefault="008502BD" w:rsidP="00315293">
            <w:pPr>
              <w:rPr>
                <w:rFonts w:ascii="Arial" w:hAnsi="Arial" w:cs="Arial"/>
                <w:b/>
                <w:color w:val="002060"/>
              </w:rPr>
            </w:pPr>
          </w:p>
        </w:tc>
      </w:tr>
      <w:tr w:rsidR="002B30D8" w:rsidRPr="002B30D8" w14:paraId="5540C8DD" w14:textId="77777777" w:rsidTr="002B30D8">
        <w:trPr>
          <w:trHeight w:val="552"/>
        </w:trPr>
        <w:tc>
          <w:tcPr>
            <w:tcW w:w="1636" w:type="dxa"/>
          </w:tcPr>
          <w:p w14:paraId="48D082C4" w14:textId="77777777" w:rsidR="008502BD" w:rsidRPr="002B30D8" w:rsidRDefault="008502BD" w:rsidP="00D30951">
            <w:pPr>
              <w:autoSpaceDE w:val="0"/>
              <w:autoSpaceDN w:val="0"/>
              <w:adjustRightInd w:val="0"/>
              <w:rPr>
                <w:rFonts w:ascii="Arial" w:hAnsi="Arial" w:cs="Arial"/>
                <w:color w:val="002060"/>
              </w:rPr>
            </w:pPr>
            <w:r w:rsidRPr="002B30D8">
              <w:rPr>
                <w:rFonts w:ascii="Arial" w:hAnsi="Arial" w:cs="Arial"/>
                <w:color w:val="002060"/>
              </w:rPr>
              <w:t>Section 1</w:t>
            </w:r>
          </w:p>
        </w:tc>
        <w:tc>
          <w:tcPr>
            <w:tcW w:w="7581" w:type="dxa"/>
            <w:vAlign w:val="center"/>
          </w:tcPr>
          <w:p w14:paraId="023565C9" w14:textId="77777777" w:rsidR="008502BD" w:rsidRPr="002B30D8" w:rsidRDefault="008502BD" w:rsidP="00D30951">
            <w:pPr>
              <w:autoSpaceDE w:val="0"/>
              <w:autoSpaceDN w:val="0"/>
              <w:adjustRightInd w:val="0"/>
              <w:rPr>
                <w:rFonts w:ascii="Arial" w:hAnsi="Arial" w:cs="Arial"/>
                <w:color w:val="002060"/>
              </w:rPr>
            </w:pPr>
            <w:r w:rsidRPr="002B30D8">
              <w:rPr>
                <w:rFonts w:ascii="Arial" w:hAnsi="Arial" w:cs="Arial"/>
                <w:color w:val="002060"/>
              </w:rPr>
              <w:t>Summary Information relating to this post</w:t>
            </w:r>
          </w:p>
          <w:p w14:paraId="558E758F" w14:textId="77777777" w:rsidR="008502BD" w:rsidRPr="002B30D8" w:rsidRDefault="008502BD" w:rsidP="00D30951">
            <w:pPr>
              <w:autoSpaceDE w:val="0"/>
              <w:autoSpaceDN w:val="0"/>
              <w:adjustRightInd w:val="0"/>
              <w:rPr>
                <w:rFonts w:ascii="Arial" w:hAnsi="Arial" w:cs="Arial"/>
                <w:color w:val="002060"/>
              </w:rPr>
            </w:pPr>
          </w:p>
        </w:tc>
      </w:tr>
      <w:tr w:rsidR="002B30D8" w:rsidRPr="002B30D8" w14:paraId="7A291850" w14:textId="77777777" w:rsidTr="002B30D8">
        <w:trPr>
          <w:trHeight w:val="1390"/>
        </w:trPr>
        <w:tc>
          <w:tcPr>
            <w:tcW w:w="1636" w:type="dxa"/>
            <w:vMerge w:val="restart"/>
          </w:tcPr>
          <w:p w14:paraId="3166B5EE" w14:textId="77777777" w:rsidR="002B30D8" w:rsidRPr="002B30D8" w:rsidRDefault="002B30D8" w:rsidP="00D30951">
            <w:pPr>
              <w:autoSpaceDE w:val="0"/>
              <w:autoSpaceDN w:val="0"/>
              <w:adjustRightInd w:val="0"/>
              <w:rPr>
                <w:rFonts w:ascii="Arial" w:hAnsi="Arial" w:cs="Arial"/>
                <w:color w:val="002060"/>
              </w:rPr>
            </w:pPr>
            <w:r w:rsidRPr="002B30D8">
              <w:rPr>
                <w:rFonts w:ascii="Arial" w:hAnsi="Arial" w:cs="Arial"/>
                <w:color w:val="002060"/>
              </w:rPr>
              <w:t>Section 2</w:t>
            </w:r>
          </w:p>
          <w:p w14:paraId="4C5E37AA" w14:textId="2326B6AA" w:rsidR="002B30D8" w:rsidRPr="002B30D8" w:rsidRDefault="002B30D8" w:rsidP="00D30951">
            <w:pPr>
              <w:autoSpaceDE w:val="0"/>
              <w:autoSpaceDN w:val="0"/>
              <w:adjustRightInd w:val="0"/>
              <w:rPr>
                <w:rFonts w:ascii="Arial" w:hAnsi="Arial" w:cs="Arial"/>
                <w:color w:val="002060"/>
              </w:rPr>
            </w:pPr>
          </w:p>
        </w:tc>
        <w:tc>
          <w:tcPr>
            <w:tcW w:w="7581" w:type="dxa"/>
            <w:vAlign w:val="center"/>
          </w:tcPr>
          <w:p w14:paraId="558A442E" w14:textId="77777777" w:rsidR="002B30D8" w:rsidRPr="002B30D8" w:rsidRDefault="002B30D8" w:rsidP="00BC3D7F">
            <w:pPr>
              <w:autoSpaceDE w:val="0"/>
              <w:autoSpaceDN w:val="0"/>
              <w:adjustRightInd w:val="0"/>
              <w:rPr>
                <w:rFonts w:ascii="Arial" w:hAnsi="Arial" w:cs="Arial"/>
                <w:color w:val="002060"/>
              </w:rPr>
            </w:pPr>
            <w:r w:rsidRPr="002B30D8">
              <w:rPr>
                <w:rFonts w:ascii="Arial" w:hAnsi="Arial" w:cs="Arial"/>
                <w:color w:val="002060"/>
              </w:rPr>
              <w:t>Job Description</w:t>
            </w:r>
          </w:p>
          <w:p w14:paraId="3466873B" w14:textId="77777777" w:rsidR="002B30D8" w:rsidRPr="002B30D8" w:rsidRDefault="002B30D8" w:rsidP="00BC3D7F">
            <w:pPr>
              <w:autoSpaceDE w:val="0"/>
              <w:autoSpaceDN w:val="0"/>
              <w:adjustRightInd w:val="0"/>
              <w:rPr>
                <w:rFonts w:ascii="Arial" w:hAnsi="Arial" w:cs="Arial"/>
                <w:color w:val="002060"/>
              </w:rPr>
            </w:pPr>
          </w:p>
          <w:p w14:paraId="5C5EB933" w14:textId="77777777" w:rsidR="002B30D8" w:rsidRPr="002B30D8" w:rsidRDefault="002B30D8" w:rsidP="00312CB8">
            <w:pPr>
              <w:autoSpaceDE w:val="0"/>
              <w:autoSpaceDN w:val="0"/>
              <w:adjustRightInd w:val="0"/>
              <w:rPr>
                <w:rFonts w:ascii="Arial" w:hAnsi="Arial" w:cs="Arial"/>
                <w:color w:val="002060"/>
              </w:rPr>
            </w:pPr>
            <w:r w:rsidRPr="002B30D8">
              <w:rPr>
                <w:rFonts w:ascii="Arial" w:hAnsi="Arial" w:cs="Arial"/>
                <w:color w:val="002060"/>
              </w:rPr>
              <w:t xml:space="preserve">The Department/Specialty – Facilities, Resources and Activity, </w:t>
            </w:r>
          </w:p>
          <w:p w14:paraId="38F3C068" w14:textId="77777777" w:rsidR="002B30D8" w:rsidRPr="002B30D8" w:rsidRDefault="002B30D8" w:rsidP="00BC3D7F">
            <w:pPr>
              <w:rPr>
                <w:rFonts w:ascii="Arial" w:hAnsi="Arial" w:cs="Arial"/>
                <w:color w:val="002060"/>
              </w:rPr>
            </w:pPr>
          </w:p>
        </w:tc>
      </w:tr>
      <w:tr w:rsidR="002B30D8" w:rsidRPr="002B30D8" w14:paraId="0098D782" w14:textId="77777777" w:rsidTr="002B30D8">
        <w:trPr>
          <w:trHeight w:val="1390"/>
        </w:trPr>
        <w:tc>
          <w:tcPr>
            <w:tcW w:w="1636" w:type="dxa"/>
            <w:vMerge/>
          </w:tcPr>
          <w:p w14:paraId="1596C0A8" w14:textId="1F17EBFB" w:rsidR="002B30D8" w:rsidRPr="002B30D8" w:rsidRDefault="002B30D8" w:rsidP="00D30951">
            <w:pPr>
              <w:autoSpaceDE w:val="0"/>
              <w:autoSpaceDN w:val="0"/>
              <w:adjustRightInd w:val="0"/>
              <w:rPr>
                <w:rFonts w:ascii="Arial" w:hAnsi="Arial" w:cs="Arial"/>
                <w:color w:val="002060"/>
              </w:rPr>
            </w:pPr>
          </w:p>
        </w:tc>
        <w:tc>
          <w:tcPr>
            <w:tcW w:w="7581" w:type="dxa"/>
            <w:vAlign w:val="center"/>
          </w:tcPr>
          <w:p w14:paraId="5369AFCB" w14:textId="77777777" w:rsidR="002B30D8" w:rsidRPr="002B30D8" w:rsidRDefault="002B30D8" w:rsidP="00312CB8">
            <w:pPr>
              <w:autoSpaceDE w:val="0"/>
              <w:autoSpaceDN w:val="0"/>
              <w:adjustRightInd w:val="0"/>
              <w:rPr>
                <w:rFonts w:ascii="Arial" w:hAnsi="Arial" w:cs="Arial"/>
                <w:color w:val="002060"/>
              </w:rPr>
            </w:pPr>
            <w:r w:rsidRPr="002B30D8">
              <w:rPr>
                <w:rFonts w:ascii="Arial" w:hAnsi="Arial" w:cs="Arial"/>
                <w:color w:val="002060"/>
              </w:rPr>
              <w:t>Duties of the post</w:t>
            </w:r>
          </w:p>
          <w:p w14:paraId="1889D285" w14:textId="77777777" w:rsidR="002B30D8" w:rsidRPr="002B30D8" w:rsidRDefault="002B30D8" w:rsidP="00312CB8">
            <w:pPr>
              <w:autoSpaceDE w:val="0"/>
              <w:autoSpaceDN w:val="0"/>
              <w:adjustRightInd w:val="0"/>
              <w:rPr>
                <w:rFonts w:ascii="Arial" w:hAnsi="Arial" w:cs="Arial"/>
                <w:color w:val="002060"/>
              </w:rPr>
            </w:pPr>
          </w:p>
          <w:p w14:paraId="7A5DEEA3" w14:textId="77777777" w:rsidR="002B30D8" w:rsidRPr="002B30D8" w:rsidRDefault="002B30D8" w:rsidP="00312CB8">
            <w:pPr>
              <w:autoSpaceDE w:val="0"/>
              <w:autoSpaceDN w:val="0"/>
              <w:adjustRightInd w:val="0"/>
              <w:rPr>
                <w:rFonts w:ascii="Arial" w:hAnsi="Arial" w:cs="Arial"/>
                <w:color w:val="002060"/>
              </w:rPr>
            </w:pPr>
            <w:r w:rsidRPr="002B30D8">
              <w:rPr>
                <w:rFonts w:ascii="Arial" w:hAnsi="Arial" w:cs="Arial"/>
                <w:color w:val="002060"/>
              </w:rPr>
              <w:t>Job Plan and Person Specification</w:t>
            </w:r>
          </w:p>
        </w:tc>
      </w:tr>
      <w:tr w:rsidR="002B30D8" w:rsidRPr="002B30D8" w14:paraId="2F596791" w14:textId="77777777" w:rsidTr="002B30D8">
        <w:trPr>
          <w:trHeight w:val="552"/>
        </w:trPr>
        <w:tc>
          <w:tcPr>
            <w:tcW w:w="1636" w:type="dxa"/>
          </w:tcPr>
          <w:p w14:paraId="0290461C" w14:textId="5E72BFF9" w:rsidR="008502BD" w:rsidRPr="002B30D8" w:rsidRDefault="008502BD" w:rsidP="00D30951">
            <w:pPr>
              <w:autoSpaceDE w:val="0"/>
              <w:autoSpaceDN w:val="0"/>
              <w:adjustRightInd w:val="0"/>
              <w:rPr>
                <w:rFonts w:ascii="Arial" w:hAnsi="Arial" w:cs="Arial"/>
                <w:color w:val="002060"/>
              </w:rPr>
            </w:pPr>
            <w:r w:rsidRPr="002B30D8">
              <w:rPr>
                <w:rFonts w:ascii="Arial" w:hAnsi="Arial" w:cs="Arial"/>
                <w:color w:val="002060"/>
              </w:rPr>
              <w:t xml:space="preserve">Section </w:t>
            </w:r>
            <w:r w:rsidR="002B30D8">
              <w:rPr>
                <w:rFonts w:ascii="Arial" w:hAnsi="Arial" w:cs="Arial"/>
                <w:color w:val="002060"/>
              </w:rPr>
              <w:t>3</w:t>
            </w:r>
          </w:p>
        </w:tc>
        <w:tc>
          <w:tcPr>
            <w:tcW w:w="7581" w:type="dxa"/>
            <w:vAlign w:val="center"/>
          </w:tcPr>
          <w:p w14:paraId="73DE5645" w14:textId="77777777" w:rsidR="008502BD" w:rsidRPr="002B30D8" w:rsidRDefault="008502BD" w:rsidP="00D30951">
            <w:pPr>
              <w:autoSpaceDE w:val="0"/>
              <w:autoSpaceDN w:val="0"/>
              <w:adjustRightInd w:val="0"/>
              <w:rPr>
                <w:rFonts w:ascii="Arial" w:hAnsi="Arial" w:cs="Arial"/>
                <w:color w:val="002060"/>
              </w:rPr>
            </w:pPr>
            <w:r w:rsidRPr="002B30D8">
              <w:rPr>
                <w:rFonts w:ascii="Arial" w:hAnsi="Arial" w:cs="Arial"/>
                <w:color w:val="002060"/>
              </w:rPr>
              <w:t>General Information</w:t>
            </w:r>
          </w:p>
          <w:p w14:paraId="33A07FF3" w14:textId="77777777" w:rsidR="008502BD" w:rsidRPr="002B30D8" w:rsidRDefault="008502BD" w:rsidP="00D30951">
            <w:pPr>
              <w:autoSpaceDE w:val="0"/>
              <w:autoSpaceDN w:val="0"/>
              <w:adjustRightInd w:val="0"/>
              <w:rPr>
                <w:rFonts w:ascii="Arial" w:hAnsi="Arial" w:cs="Arial"/>
                <w:color w:val="002060"/>
              </w:rPr>
            </w:pPr>
          </w:p>
        </w:tc>
      </w:tr>
      <w:tr w:rsidR="002B30D8" w:rsidRPr="002B30D8" w14:paraId="2B539C68" w14:textId="77777777" w:rsidTr="002B30D8">
        <w:trPr>
          <w:trHeight w:val="552"/>
        </w:trPr>
        <w:tc>
          <w:tcPr>
            <w:tcW w:w="1636" w:type="dxa"/>
          </w:tcPr>
          <w:p w14:paraId="13E6FACC" w14:textId="4FFE00D5" w:rsidR="008502BD" w:rsidRPr="002B30D8" w:rsidRDefault="008502BD" w:rsidP="00D30951">
            <w:pPr>
              <w:autoSpaceDE w:val="0"/>
              <w:autoSpaceDN w:val="0"/>
              <w:adjustRightInd w:val="0"/>
              <w:rPr>
                <w:rFonts w:ascii="Arial" w:hAnsi="Arial" w:cs="Arial"/>
                <w:color w:val="002060"/>
              </w:rPr>
            </w:pPr>
            <w:r w:rsidRPr="002B30D8">
              <w:rPr>
                <w:rFonts w:ascii="Arial" w:hAnsi="Arial" w:cs="Arial"/>
                <w:color w:val="002060"/>
              </w:rPr>
              <w:t xml:space="preserve">Section </w:t>
            </w:r>
            <w:r w:rsidR="002B30D8">
              <w:rPr>
                <w:rFonts w:ascii="Arial" w:hAnsi="Arial" w:cs="Arial"/>
                <w:color w:val="002060"/>
              </w:rPr>
              <w:t>4</w:t>
            </w:r>
          </w:p>
        </w:tc>
        <w:tc>
          <w:tcPr>
            <w:tcW w:w="7581" w:type="dxa"/>
            <w:vAlign w:val="center"/>
          </w:tcPr>
          <w:p w14:paraId="1F3024C6" w14:textId="77777777" w:rsidR="008502BD" w:rsidRPr="002B30D8" w:rsidRDefault="008502BD" w:rsidP="00D30951">
            <w:pPr>
              <w:autoSpaceDE w:val="0"/>
              <w:autoSpaceDN w:val="0"/>
              <w:adjustRightInd w:val="0"/>
              <w:rPr>
                <w:rFonts w:ascii="Arial" w:hAnsi="Arial" w:cs="Arial"/>
                <w:color w:val="002060"/>
              </w:rPr>
            </w:pPr>
            <w:r w:rsidRPr="002B30D8">
              <w:rPr>
                <w:rFonts w:ascii="Arial" w:hAnsi="Arial" w:cs="Arial"/>
                <w:color w:val="002060"/>
              </w:rPr>
              <w:t>Terms and Conditions</w:t>
            </w:r>
          </w:p>
          <w:p w14:paraId="14FF9068" w14:textId="77777777" w:rsidR="008502BD" w:rsidRPr="002B30D8" w:rsidRDefault="008502BD" w:rsidP="00D30951">
            <w:pPr>
              <w:autoSpaceDE w:val="0"/>
              <w:autoSpaceDN w:val="0"/>
              <w:adjustRightInd w:val="0"/>
              <w:rPr>
                <w:rFonts w:ascii="Arial" w:hAnsi="Arial" w:cs="Arial"/>
                <w:color w:val="002060"/>
              </w:rPr>
            </w:pPr>
          </w:p>
        </w:tc>
      </w:tr>
      <w:tr w:rsidR="002B30D8" w:rsidRPr="002B30D8" w14:paraId="31E15114" w14:textId="77777777" w:rsidTr="002B30D8">
        <w:trPr>
          <w:trHeight w:val="552"/>
        </w:trPr>
        <w:tc>
          <w:tcPr>
            <w:tcW w:w="1636" w:type="dxa"/>
          </w:tcPr>
          <w:p w14:paraId="41A40538" w14:textId="54154B7E" w:rsidR="008502BD" w:rsidRPr="002B30D8" w:rsidRDefault="008502BD" w:rsidP="00D30951">
            <w:pPr>
              <w:autoSpaceDE w:val="0"/>
              <w:autoSpaceDN w:val="0"/>
              <w:adjustRightInd w:val="0"/>
              <w:rPr>
                <w:rFonts w:ascii="Arial" w:hAnsi="Arial" w:cs="Arial"/>
                <w:color w:val="002060"/>
              </w:rPr>
            </w:pPr>
            <w:r w:rsidRPr="002B30D8">
              <w:rPr>
                <w:rFonts w:ascii="Arial" w:hAnsi="Arial" w:cs="Arial"/>
                <w:color w:val="002060"/>
              </w:rPr>
              <w:t xml:space="preserve">Section </w:t>
            </w:r>
            <w:r w:rsidR="002B30D8">
              <w:rPr>
                <w:rFonts w:ascii="Arial" w:hAnsi="Arial" w:cs="Arial"/>
                <w:color w:val="002060"/>
              </w:rPr>
              <w:t>5</w:t>
            </w:r>
          </w:p>
        </w:tc>
        <w:tc>
          <w:tcPr>
            <w:tcW w:w="7581" w:type="dxa"/>
            <w:vAlign w:val="center"/>
          </w:tcPr>
          <w:p w14:paraId="4C68FB1A" w14:textId="77777777" w:rsidR="008502BD" w:rsidRPr="002B30D8" w:rsidRDefault="008502BD" w:rsidP="00D30951">
            <w:pPr>
              <w:autoSpaceDE w:val="0"/>
              <w:autoSpaceDN w:val="0"/>
              <w:adjustRightInd w:val="0"/>
              <w:rPr>
                <w:rFonts w:ascii="Arial" w:hAnsi="Arial" w:cs="Arial"/>
                <w:color w:val="002060"/>
              </w:rPr>
            </w:pPr>
            <w:r w:rsidRPr="002B30D8">
              <w:rPr>
                <w:rFonts w:ascii="Arial" w:hAnsi="Arial" w:cs="Arial"/>
                <w:color w:val="002060"/>
              </w:rPr>
              <w:t xml:space="preserve">Making your </w:t>
            </w:r>
            <w:proofErr w:type="gramStart"/>
            <w:r w:rsidRPr="002B30D8">
              <w:rPr>
                <w:rFonts w:ascii="Arial" w:hAnsi="Arial" w:cs="Arial"/>
                <w:color w:val="002060"/>
              </w:rPr>
              <w:t>Application</w:t>
            </w:r>
            <w:proofErr w:type="gramEnd"/>
          </w:p>
          <w:p w14:paraId="7275F267" w14:textId="77777777" w:rsidR="008502BD" w:rsidRPr="002B30D8" w:rsidRDefault="008502BD" w:rsidP="00D30951">
            <w:pPr>
              <w:autoSpaceDE w:val="0"/>
              <w:autoSpaceDN w:val="0"/>
              <w:adjustRightInd w:val="0"/>
              <w:rPr>
                <w:rFonts w:ascii="Arial" w:hAnsi="Arial" w:cs="Arial"/>
                <w:color w:val="002060"/>
              </w:rPr>
            </w:pPr>
          </w:p>
        </w:tc>
      </w:tr>
      <w:tr w:rsidR="002B30D8" w:rsidRPr="002B30D8" w14:paraId="7F69DAA4" w14:textId="77777777" w:rsidTr="002B30D8">
        <w:trPr>
          <w:trHeight w:val="552"/>
        </w:trPr>
        <w:tc>
          <w:tcPr>
            <w:tcW w:w="1636" w:type="dxa"/>
          </w:tcPr>
          <w:p w14:paraId="2BF04941" w14:textId="476DA30F" w:rsidR="008502BD" w:rsidRPr="002B30D8" w:rsidRDefault="008502BD" w:rsidP="00D30951">
            <w:pPr>
              <w:autoSpaceDE w:val="0"/>
              <w:autoSpaceDN w:val="0"/>
              <w:adjustRightInd w:val="0"/>
              <w:rPr>
                <w:rFonts w:ascii="Arial" w:hAnsi="Arial" w:cs="Arial"/>
                <w:color w:val="002060"/>
              </w:rPr>
            </w:pPr>
            <w:r w:rsidRPr="002B30D8">
              <w:rPr>
                <w:rFonts w:ascii="Arial" w:hAnsi="Arial" w:cs="Arial"/>
                <w:color w:val="002060"/>
              </w:rPr>
              <w:t xml:space="preserve">Section </w:t>
            </w:r>
            <w:r w:rsidR="002B30D8">
              <w:rPr>
                <w:rFonts w:ascii="Arial" w:hAnsi="Arial" w:cs="Arial"/>
                <w:color w:val="002060"/>
              </w:rPr>
              <w:t>6</w:t>
            </w:r>
          </w:p>
        </w:tc>
        <w:tc>
          <w:tcPr>
            <w:tcW w:w="7581" w:type="dxa"/>
            <w:vAlign w:val="center"/>
          </w:tcPr>
          <w:p w14:paraId="3C37060D" w14:textId="77777777" w:rsidR="008502BD" w:rsidRPr="002B30D8" w:rsidRDefault="008502BD" w:rsidP="00D30951">
            <w:pPr>
              <w:autoSpaceDE w:val="0"/>
              <w:autoSpaceDN w:val="0"/>
              <w:adjustRightInd w:val="0"/>
              <w:rPr>
                <w:rFonts w:ascii="Arial" w:hAnsi="Arial" w:cs="Arial"/>
                <w:color w:val="002060"/>
              </w:rPr>
            </w:pPr>
            <w:r w:rsidRPr="002B30D8">
              <w:rPr>
                <w:rFonts w:ascii="Arial" w:hAnsi="Arial" w:cs="Arial"/>
                <w:color w:val="002060"/>
              </w:rPr>
              <w:t>About NHS Greater Glasgow and Clyde</w:t>
            </w:r>
          </w:p>
          <w:p w14:paraId="25EFE67C" w14:textId="77777777" w:rsidR="008502BD" w:rsidRPr="002B30D8" w:rsidRDefault="008502BD" w:rsidP="00D30951">
            <w:pPr>
              <w:autoSpaceDE w:val="0"/>
              <w:autoSpaceDN w:val="0"/>
              <w:adjustRightInd w:val="0"/>
              <w:rPr>
                <w:rFonts w:ascii="Arial" w:hAnsi="Arial" w:cs="Arial"/>
                <w:color w:val="002060"/>
              </w:rPr>
            </w:pPr>
          </w:p>
        </w:tc>
      </w:tr>
      <w:tr w:rsidR="002B30D8" w:rsidRPr="002B30D8" w14:paraId="39A10B48" w14:textId="77777777" w:rsidTr="002B30D8">
        <w:trPr>
          <w:trHeight w:val="552"/>
        </w:trPr>
        <w:tc>
          <w:tcPr>
            <w:tcW w:w="1636" w:type="dxa"/>
          </w:tcPr>
          <w:p w14:paraId="1AF5BD3E" w14:textId="36ED449A" w:rsidR="008502BD" w:rsidRPr="002B30D8" w:rsidRDefault="008502BD" w:rsidP="00D30951">
            <w:pPr>
              <w:autoSpaceDE w:val="0"/>
              <w:autoSpaceDN w:val="0"/>
              <w:adjustRightInd w:val="0"/>
              <w:rPr>
                <w:rFonts w:ascii="Arial" w:hAnsi="Arial" w:cs="Arial"/>
                <w:color w:val="002060"/>
              </w:rPr>
            </w:pPr>
            <w:r w:rsidRPr="002B30D8">
              <w:rPr>
                <w:rFonts w:ascii="Arial" w:hAnsi="Arial" w:cs="Arial"/>
                <w:color w:val="002060"/>
              </w:rPr>
              <w:t xml:space="preserve">Section </w:t>
            </w:r>
            <w:r w:rsidR="002B30D8">
              <w:rPr>
                <w:rFonts w:ascii="Arial" w:hAnsi="Arial" w:cs="Arial"/>
                <w:color w:val="002060"/>
              </w:rPr>
              <w:t>7</w:t>
            </w:r>
          </w:p>
        </w:tc>
        <w:tc>
          <w:tcPr>
            <w:tcW w:w="7581" w:type="dxa"/>
            <w:vAlign w:val="center"/>
          </w:tcPr>
          <w:p w14:paraId="6069AA25" w14:textId="77777777" w:rsidR="008502BD" w:rsidRPr="002B30D8" w:rsidRDefault="008502BD" w:rsidP="00D30951">
            <w:pPr>
              <w:autoSpaceDE w:val="0"/>
              <w:autoSpaceDN w:val="0"/>
              <w:adjustRightInd w:val="0"/>
              <w:rPr>
                <w:rFonts w:ascii="Arial" w:hAnsi="Arial" w:cs="Arial"/>
                <w:color w:val="002060"/>
              </w:rPr>
            </w:pPr>
            <w:r w:rsidRPr="002B30D8">
              <w:rPr>
                <w:rFonts w:ascii="Arial" w:hAnsi="Arial" w:cs="Arial"/>
                <w:color w:val="002060"/>
              </w:rPr>
              <w:t>Living and Working in the Greater Glasgow and Clyde area</w:t>
            </w:r>
          </w:p>
          <w:p w14:paraId="50B1373D" w14:textId="77777777" w:rsidR="008502BD" w:rsidRPr="002B30D8" w:rsidRDefault="008502BD" w:rsidP="00D30951">
            <w:pPr>
              <w:autoSpaceDE w:val="0"/>
              <w:autoSpaceDN w:val="0"/>
              <w:adjustRightInd w:val="0"/>
              <w:rPr>
                <w:rFonts w:ascii="Arial" w:hAnsi="Arial" w:cs="Arial"/>
                <w:color w:val="002060"/>
              </w:rPr>
            </w:pPr>
          </w:p>
        </w:tc>
      </w:tr>
    </w:tbl>
    <w:p w14:paraId="723AA71D" w14:textId="77777777" w:rsidR="008502BD" w:rsidRPr="002B30D8" w:rsidRDefault="008502BD" w:rsidP="00315293">
      <w:pPr>
        <w:rPr>
          <w:rFonts w:ascii="Arial" w:hAnsi="Arial" w:cs="Arial"/>
          <w:b/>
          <w:color w:val="002060"/>
        </w:rPr>
      </w:pPr>
    </w:p>
    <w:p w14:paraId="4F29FB32" w14:textId="77777777" w:rsidR="008502BD" w:rsidRPr="002B30D8" w:rsidRDefault="00E30E13" w:rsidP="00315293">
      <w:pPr>
        <w:rPr>
          <w:rFonts w:ascii="Arial" w:hAnsi="Arial" w:cs="Arial"/>
          <w:b/>
          <w:color w:val="002060"/>
        </w:rPr>
      </w:pPr>
      <w:r w:rsidRPr="002B30D8">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2B30D8" w:rsidRDefault="008502BD" w:rsidP="00794B3E">
      <w:pPr>
        <w:ind w:left="-142"/>
        <w:jc w:val="center"/>
        <w:rPr>
          <w:rFonts w:ascii="Arial" w:hAnsi="Arial" w:cs="Arial"/>
          <w:b/>
          <w:color w:val="002060"/>
        </w:rPr>
      </w:pPr>
      <w:r w:rsidRPr="002B30D8">
        <w:rPr>
          <w:rFonts w:ascii="Arial" w:hAnsi="Arial" w:cs="Arial"/>
          <w:b/>
          <w:color w:val="002060"/>
        </w:rPr>
        <w:t xml:space="preserve">Please visit </w:t>
      </w:r>
      <w:hyperlink r:id="rId15" w:history="1">
        <w:r w:rsidRPr="002B30D8">
          <w:rPr>
            <w:rStyle w:val="Hyperlink"/>
            <w:rFonts w:ascii="Arial" w:hAnsi="Arial" w:cs="Arial"/>
            <w:b/>
            <w:color w:val="002060"/>
          </w:rPr>
          <w:t>https://apply.jobs.scot.nhs.uk</w:t>
        </w:r>
      </w:hyperlink>
      <w:r w:rsidRPr="002B30D8">
        <w:rPr>
          <w:rFonts w:ascii="Arial" w:hAnsi="Arial" w:cs="Arial"/>
          <w:b/>
          <w:color w:val="002060"/>
        </w:rPr>
        <w:t xml:space="preserve">  for further details on how to apply </w:t>
      </w:r>
    </w:p>
    <w:p w14:paraId="623EBD9A" w14:textId="77777777" w:rsidR="008502BD" w:rsidRPr="002B30D8" w:rsidRDefault="008502BD" w:rsidP="00794B3E">
      <w:pPr>
        <w:ind w:left="-142"/>
        <w:jc w:val="center"/>
        <w:rPr>
          <w:rFonts w:ascii="Arial" w:hAnsi="Arial" w:cs="Arial"/>
          <w:b/>
          <w:color w:val="002060"/>
        </w:rPr>
      </w:pPr>
    </w:p>
    <w:p w14:paraId="1BFCA912" w14:textId="77777777" w:rsidR="008502BD" w:rsidRPr="002B30D8" w:rsidRDefault="008502BD" w:rsidP="00794B3E">
      <w:pPr>
        <w:ind w:left="-142"/>
        <w:jc w:val="center"/>
        <w:rPr>
          <w:rFonts w:ascii="Arial" w:hAnsi="Arial" w:cs="Arial"/>
          <w:b/>
          <w:color w:val="002060"/>
        </w:rPr>
      </w:pPr>
      <w:r w:rsidRPr="002B30D8">
        <w:rPr>
          <w:rFonts w:ascii="Arial" w:hAnsi="Arial" w:cs="Arial"/>
          <w:b/>
          <w:color w:val="002060"/>
        </w:rPr>
        <w:t xml:space="preserve">Search for the job reference number quoted above. </w:t>
      </w:r>
    </w:p>
    <w:p w14:paraId="46EECF23" w14:textId="77777777" w:rsidR="008502BD" w:rsidRPr="002B30D8" w:rsidRDefault="008502BD" w:rsidP="00794B3E">
      <w:pPr>
        <w:ind w:left="-142"/>
        <w:jc w:val="center"/>
        <w:rPr>
          <w:rFonts w:ascii="Arial" w:hAnsi="Arial" w:cs="Arial"/>
          <w:b/>
          <w:color w:val="002060"/>
        </w:rPr>
      </w:pPr>
    </w:p>
    <w:p w14:paraId="528D4303" w14:textId="77777777" w:rsidR="008502BD" w:rsidRPr="002B30D8" w:rsidRDefault="008502BD" w:rsidP="00067415">
      <w:pPr>
        <w:rPr>
          <w:rFonts w:ascii="Arial" w:hAnsi="Arial" w:cs="Arial"/>
          <w:b/>
          <w:color w:val="002060"/>
          <w:sz w:val="32"/>
          <w:szCs w:val="32"/>
        </w:rPr>
      </w:pPr>
      <w:r w:rsidRPr="002B30D8">
        <w:rPr>
          <w:rFonts w:ascii="Arial" w:hAnsi="Arial" w:cs="Arial"/>
          <w:b/>
          <w:color w:val="002060"/>
        </w:rPr>
        <w:t>Please note all applications should be made via our e Recruitment system (Job Train)</w:t>
      </w:r>
      <w:r w:rsidRPr="002B30D8">
        <w:rPr>
          <w:rFonts w:ascii="Arial" w:hAnsi="Arial" w:cs="Arial"/>
          <w:b/>
          <w:color w:val="002060"/>
        </w:rPr>
        <w:br w:type="page"/>
      </w:r>
      <w:r w:rsidRPr="002B30D8">
        <w:rPr>
          <w:rFonts w:ascii="Arial" w:hAnsi="Arial" w:cs="Arial"/>
          <w:b/>
          <w:color w:val="002060"/>
          <w:sz w:val="32"/>
          <w:szCs w:val="32"/>
        </w:rPr>
        <w:lastRenderedPageBreak/>
        <w:t>Section 1:</w:t>
      </w:r>
      <w:r w:rsidRPr="002B30D8">
        <w:rPr>
          <w:rFonts w:ascii="Arial" w:hAnsi="Arial" w:cs="Arial"/>
          <w:b/>
          <w:color w:val="002060"/>
          <w:sz w:val="32"/>
          <w:szCs w:val="32"/>
        </w:rPr>
        <w:tab/>
        <w:t>Summary Information Relating to this Post</w:t>
      </w:r>
    </w:p>
    <w:p w14:paraId="7435378F" w14:textId="751C078E" w:rsidR="00C92639" w:rsidRPr="002B30D8" w:rsidRDefault="00C92639" w:rsidP="00C92639">
      <w:pPr>
        <w:rPr>
          <w:rFonts w:ascii="Arial" w:hAnsi="Arial" w:cs="Arial"/>
          <w:b/>
          <w:color w:val="002060"/>
        </w:rPr>
      </w:pP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2B30D8" w:rsidRPr="002B30D8" w14:paraId="39F559F7" w14:textId="77777777" w:rsidTr="00A9006B">
        <w:trPr>
          <w:trHeight w:val="930"/>
        </w:trPr>
        <w:tc>
          <w:tcPr>
            <w:tcW w:w="10807" w:type="dxa"/>
            <w:gridSpan w:val="4"/>
          </w:tcPr>
          <w:p w14:paraId="38A16F99" w14:textId="77777777" w:rsidR="00C92639" w:rsidRPr="002B30D8" w:rsidRDefault="00C92639" w:rsidP="00672F8B">
            <w:pPr>
              <w:pStyle w:val="Default"/>
              <w:ind w:left="420"/>
              <w:rPr>
                <w:b/>
                <w:color w:val="002060"/>
              </w:rPr>
            </w:pPr>
          </w:p>
          <w:p w14:paraId="244303CB" w14:textId="77777777" w:rsidR="00C92639" w:rsidRPr="002B30D8" w:rsidRDefault="00C92639" w:rsidP="00672F8B">
            <w:pPr>
              <w:pStyle w:val="Default"/>
              <w:ind w:left="420"/>
              <w:rPr>
                <w:b/>
                <w:color w:val="002060"/>
              </w:rPr>
            </w:pPr>
            <w:r w:rsidRPr="002B30D8">
              <w:rPr>
                <w:b/>
                <w:color w:val="002060"/>
              </w:rPr>
              <w:t>Additional Arrangements for Applicants : Informal enquiries and details of arrangements to visit the department regarding this post will be welcome by:</w:t>
            </w:r>
          </w:p>
        </w:tc>
      </w:tr>
      <w:tr w:rsidR="002B30D8" w:rsidRPr="002B30D8" w14:paraId="537C8E04" w14:textId="77777777" w:rsidTr="00A9006B">
        <w:trPr>
          <w:trHeight w:val="165"/>
        </w:trPr>
        <w:tc>
          <w:tcPr>
            <w:tcW w:w="2160" w:type="dxa"/>
            <w:shd w:val="clear" w:color="auto" w:fill="DDD9C3"/>
          </w:tcPr>
          <w:p w14:paraId="14891CB2" w14:textId="77777777" w:rsidR="00C92639" w:rsidRPr="002B30D8" w:rsidRDefault="00C92639" w:rsidP="00672F8B">
            <w:pPr>
              <w:pStyle w:val="Default"/>
              <w:ind w:left="420"/>
              <w:rPr>
                <w:b/>
                <w:color w:val="002060"/>
              </w:rPr>
            </w:pPr>
            <w:r w:rsidRPr="002B30D8">
              <w:rPr>
                <w:b/>
                <w:color w:val="002060"/>
              </w:rPr>
              <w:t xml:space="preserve">Name </w:t>
            </w:r>
          </w:p>
        </w:tc>
        <w:tc>
          <w:tcPr>
            <w:tcW w:w="2552" w:type="dxa"/>
            <w:shd w:val="clear" w:color="auto" w:fill="DDD9C3"/>
          </w:tcPr>
          <w:p w14:paraId="6B1E8279" w14:textId="77777777" w:rsidR="00C92639" w:rsidRPr="002B30D8" w:rsidRDefault="00C92639" w:rsidP="00672F8B">
            <w:pPr>
              <w:pStyle w:val="Default"/>
              <w:ind w:left="420"/>
              <w:rPr>
                <w:b/>
                <w:color w:val="002060"/>
              </w:rPr>
            </w:pPr>
            <w:r w:rsidRPr="002B30D8">
              <w:rPr>
                <w:b/>
                <w:color w:val="002060"/>
              </w:rPr>
              <w:t xml:space="preserve">Job Title </w:t>
            </w:r>
          </w:p>
        </w:tc>
        <w:tc>
          <w:tcPr>
            <w:tcW w:w="4110" w:type="dxa"/>
            <w:shd w:val="clear" w:color="auto" w:fill="DDD9C3"/>
          </w:tcPr>
          <w:p w14:paraId="0C804370" w14:textId="77777777" w:rsidR="00C92639" w:rsidRPr="002B30D8" w:rsidRDefault="00C92639" w:rsidP="00672F8B">
            <w:pPr>
              <w:pStyle w:val="Default"/>
              <w:ind w:left="420"/>
              <w:rPr>
                <w:b/>
                <w:color w:val="002060"/>
              </w:rPr>
            </w:pPr>
            <w:r w:rsidRPr="002B30D8">
              <w:rPr>
                <w:b/>
                <w:color w:val="002060"/>
              </w:rPr>
              <w:t xml:space="preserve">Email </w:t>
            </w:r>
          </w:p>
        </w:tc>
        <w:tc>
          <w:tcPr>
            <w:tcW w:w="1985" w:type="dxa"/>
            <w:shd w:val="clear" w:color="auto" w:fill="DDD9C3"/>
          </w:tcPr>
          <w:p w14:paraId="2FA7CD52" w14:textId="77777777" w:rsidR="00C92639" w:rsidRPr="002B30D8" w:rsidRDefault="00672F8B" w:rsidP="00672F8B">
            <w:pPr>
              <w:pStyle w:val="Default"/>
              <w:rPr>
                <w:b/>
                <w:color w:val="002060"/>
              </w:rPr>
            </w:pPr>
            <w:r w:rsidRPr="002B30D8">
              <w:rPr>
                <w:b/>
                <w:color w:val="002060"/>
              </w:rPr>
              <w:t xml:space="preserve">  </w:t>
            </w:r>
            <w:r w:rsidR="00C92639" w:rsidRPr="002B30D8">
              <w:rPr>
                <w:b/>
                <w:color w:val="002060"/>
              </w:rPr>
              <w:t xml:space="preserve">Telephone </w:t>
            </w:r>
          </w:p>
        </w:tc>
      </w:tr>
      <w:tr w:rsidR="002B30D8" w:rsidRPr="002B30D8" w14:paraId="37D50F3B" w14:textId="77777777" w:rsidTr="00A9006B">
        <w:trPr>
          <w:trHeight w:val="375"/>
        </w:trPr>
        <w:tc>
          <w:tcPr>
            <w:tcW w:w="2160" w:type="dxa"/>
          </w:tcPr>
          <w:p w14:paraId="6C611760" w14:textId="4D700004" w:rsidR="00C92639" w:rsidRPr="002B30D8" w:rsidRDefault="002B30D8" w:rsidP="00672F8B">
            <w:pPr>
              <w:pStyle w:val="Default"/>
              <w:ind w:left="-48"/>
              <w:rPr>
                <w:b/>
                <w:color w:val="002060"/>
              </w:rPr>
            </w:pPr>
            <w:r>
              <w:rPr>
                <w:b/>
                <w:color w:val="002060"/>
              </w:rPr>
              <w:t>Laura McGregor</w:t>
            </w:r>
          </w:p>
        </w:tc>
        <w:tc>
          <w:tcPr>
            <w:tcW w:w="2552" w:type="dxa"/>
          </w:tcPr>
          <w:p w14:paraId="63CABB9A" w14:textId="505740EA" w:rsidR="00C92639" w:rsidRPr="002B30D8" w:rsidRDefault="002B30D8" w:rsidP="00672F8B">
            <w:pPr>
              <w:pStyle w:val="Default"/>
              <w:ind w:left="12" w:hanging="12"/>
              <w:rPr>
                <w:b/>
                <w:color w:val="002060"/>
              </w:rPr>
            </w:pPr>
            <w:r>
              <w:rPr>
                <w:b/>
                <w:color w:val="002060"/>
              </w:rPr>
              <w:t>Lead Clinician</w:t>
            </w:r>
          </w:p>
        </w:tc>
        <w:tc>
          <w:tcPr>
            <w:tcW w:w="4110" w:type="dxa"/>
          </w:tcPr>
          <w:p w14:paraId="738BFB5A" w14:textId="5DD28F5C" w:rsidR="00C92639" w:rsidRPr="002B30D8" w:rsidRDefault="002B30D8" w:rsidP="00672F8B">
            <w:pPr>
              <w:pStyle w:val="Default"/>
              <w:ind w:left="12" w:hanging="12"/>
              <w:rPr>
                <w:b/>
                <w:color w:val="002060"/>
              </w:rPr>
            </w:pPr>
            <w:r>
              <w:rPr>
                <w:b/>
                <w:color w:val="002060"/>
              </w:rPr>
              <w:t>Laura.mcgregor@ggc.scot.nhs.uk</w:t>
            </w:r>
          </w:p>
        </w:tc>
        <w:tc>
          <w:tcPr>
            <w:tcW w:w="1985" w:type="dxa"/>
          </w:tcPr>
          <w:p w14:paraId="5C36A7ED" w14:textId="49A3EE36" w:rsidR="00C92639" w:rsidRPr="002B30D8" w:rsidRDefault="002B30D8" w:rsidP="00672F8B">
            <w:pPr>
              <w:pStyle w:val="Default"/>
              <w:ind w:firstLine="15"/>
              <w:rPr>
                <w:b/>
                <w:color w:val="002060"/>
              </w:rPr>
            </w:pPr>
            <w:r>
              <w:rPr>
                <w:b/>
                <w:color w:val="002060"/>
              </w:rPr>
              <w:t>0141 232 0826</w:t>
            </w:r>
          </w:p>
        </w:tc>
      </w:tr>
    </w:tbl>
    <w:p w14:paraId="7720C4FE" w14:textId="77777777" w:rsidR="002B30D8" w:rsidRPr="002B30D8" w:rsidRDefault="002B30D8" w:rsidP="002B30D8">
      <w:pPr>
        <w:ind w:right="-1056"/>
        <w:jc w:val="both"/>
        <w:outlineLvl w:val="0"/>
        <w:rPr>
          <w:rFonts w:ascii="Arial" w:hAnsi="Arial" w:cs="Arial"/>
          <w:bCs/>
          <w:color w:val="002060"/>
        </w:rPr>
      </w:pPr>
    </w:p>
    <w:p w14:paraId="00980BBF" w14:textId="75988484" w:rsidR="002B30D8" w:rsidRPr="002B30D8" w:rsidRDefault="002B30D8" w:rsidP="002B30D8">
      <w:pPr>
        <w:rPr>
          <w:rFonts w:ascii="Arial" w:hAnsi="Arial" w:cs="Arial"/>
          <w:color w:val="002060"/>
          <w:sz w:val="22"/>
          <w:szCs w:val="22"/>
        </w:rPr>
      </w:pPr>
      <w:r w:rsidRPr="002B30D8">
        <w:rPr>
          <w:rFonts w:ascii="Arial" w:hAnsi="Arial" w:cs="Arial"/>
          <w:color w:val="002060"/>
          <w:sz w:val="22"/>
          <w:szCs w:val="22"/>
        </w:rPr>
        <w:t xml:space="preserve">Applications are invited for a Locum Consultant (12 months) in General Medicine with and interest in Rheumatology and Mineral Metabolism at Glasgow Royal Infirmary and Stobhill Ambulatory Care Hospital. </w:t>
      </w:r>
    </w:p>
    <w:p w14:paraId="64075DC6" w14:textId="77777777" w:rsidR="002B30D8" w:rsidRPr="002B30D8" w:rsidRDefault="002B30D8" w:rsidP="002B30D8">
      <w:pPr>
        <w:rPr>
          <w:rFonts w:ascii="Arial" w:hAnsi="Arial" w:cs="Arial"/>
          <w:color w:val="002060"/>
          <w:sz w:val="22"/>
          <w:szCs w:val="22"/>
        </w:rPr>
      </w:pPr>
    </w:p>
    <w:p w14:paraId="09A56866" w14:textId="3A5A230D" w:rsidR="002B30D8" w:rsidRPr="002B30D8" w:rsidRDefault="002B30D8" w:rsidP="002B30D8">
      <w:pPr>
        <w:rPr>
          <w:rFonts w:ascii="Arial" w:hAnsi="Arial" w:cs="Arial"/>
          <w:color w:val="002060"/>
          <w:sz w:val="22"/>
          <w:szCs w:val="22"/>
        </w:rPr>
      </w:pPr>
      <w:r w:rsidRPr="002B30D8">
        <w:rPr>
          <w:rFonts w:ascii="Arial" w:hAnsi="Arial" w:cs="Arial"/>
          <w:color w:val="002060"/>
          <w:sz w:val="22"/>
          <w:szCs w:val="22"/>
        </w:rPr>
        <w:t>The successful candidate will be expected to provide a full range of consultant services as agreed with clinical and management colleagues, including in-patient and out-patient work.  Out-patient work maybe be undertaken at the Glasgow Royal Infirmary and Stobhill Ambulatory Care Hospital</w:t>
      </w:r>
      <w:r w:rsidRPr="002B30D8">
        <w:rPr>
          <w:rFonts w:ascii="Arial" w:hAnsi="Arial" w:cs="Arial"/>
          <w:color w:val="002060"/>
          <w:sz w:val="22"/>
          <w:szCs w:val="22"/>
        </w:rPr>
        <w:t xml:space="preserve"> </w:t>
      </w:r>
      <w:r w:rsidRPr="002B30D8">
        <w:rPr>
          <w:rFonts w:ascii="Arial" w:hAnsi="Arial" w:cs="Arial"/>
          <w:color w:val="002060"/>
          <w:sz w:val="22"/>
          <w:szCs w:val="22"/>
        </w:rPr>
        <w:t xml:space="preserve">and will include combined new and return clinics as well as inpatient services.  The appointee will also contribute to acute medical receiving, the consultant on-call rota and to downstream ward cover at weekends. </w:t>
      </w:r>
    </w:p>
    <w:p w14:paraId="29A2CC79" w14:textId="77777777" w:rsidR="002B30D8" w:rsidRPr="002B30D8" w:rsidRDefault="002B30D8" w:rsidP="002B30D8">
      <w:pPr>
        <w:rPr>
          <w:rFonts w:ascii="Arial" w:hAnsi="Arial" w:cs="Arial"/>
          <w:color w:val="002060"/>
          <w:sz w:val="22"/>
          <w:szCs w:val="22"/>
        </w:rPr>
      </w:pPr>
      <w:r w:rsidRPr="002B30D8">
        <w:rPr>
          <w:rFonts w:ascii="Arial" w:hAnsi="Arial" w:cs="Arial"/>
          <w:color w:val="002060"/>
          <w:sz w:val="22"/>
          <w:szCs w:val="22"/>
        </w:rPr>
        <w:t xml:space="preserve"> </w:t>
      </w:r>
    </w:p>
    <w:p w14:paraId="658B195E" w14:textId="77777777" w:rsidR="002B30D8" w:rsidRPr="002B30D8" w:rsidRDefault="002B30D8" w:rsidP="002B30D8">
      <w:pPr>
        <w:rPr>
          <w:rFonts w:ascii="Arial" w:hAnsi="Arial" w:cs="Arial"/>
          <w:color w:val="002060"/>
          <w:sz w:val="22"/>
          <w:szCs w:val="22"/>
        </w:rPr>
      </w:pPr>
      <w:r w:rsidRPr="002B30D8">
        <w:rPr>
          <w:rFonts w:ascii="Arial" w:hAnsi="Arial" w:cs="Arial"/>
          <w:color w:val="002060"/>
          <w:sz w:val="22"/>
          <w:szCs w:val="22"/>
        </w:rPr>
        <w:t xml:space="preserve">This post will offer a real opportunity for the successful candidate to be involved in the provision of a successful modern consultant led service and may be particularly attractive to someone who aspires to participate in teaching as well as instigate and develop a research portfolio. </w:t>
      </w:r>
    </w:p>
    <w:p w14:paraId="109621AF" w14:textId="77777777" w:rsidR="002B30D8" w:rsidRPr="002B30D8" w:rsidRDefault="002B30D8" w:rsidP="00C92639">
      <w:pPr>
        <w:rPr>
          <w:rFonts w:ascii="Arial" w:hAnsi="Arial" w:cs="Arial"/>
          <w:b/>
          <w:color w:val="002060"/>
        </w:rPr>
      </w:pPr>
    </w:p>
    <w:p w14:paraId="7DDC8020" w14:textId="77777777" w:rsidR="008A52ED" w:rsidRPr="002B30D8" w:rsidRDefault="005A0033" w:rsidP="008A52ED">
      <w:pPr>
        <w:rPr>
          <w:rFonts w:ascii="Arial" w:hAnsi="Arial" w:cs="Arial"/>
          <w:color w:val="002060"/>
          <w:sz w:val="22"/>
          <w:szCs w:val="22"/>
        </w:rPr>
      </w:pPr>
      <w:bookmarkStart w:id="0" w:name="_Hlk66176083"/>
      <w:r w:rsidRPr="002B30D8">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2B30D8" w:rsidRDefault="005A0033" w:rsidP="008A52ED">
      <w:pPr>
        <w:rPr>
          <w:rFonts w:ascii="Arial" w:hAnsi="Arial" w:cs="Arial"/>
          <w:color w:val="002060"/>
          <w:sz w:val="22"/>
          <w:szCs w:val="22"/>
        </w:rPr>
      </w:pPr>
    </w:p>
    <w:p w14:paraId="2E9FD5A2" w14:textId="52660A87" w:rsidR="005A0033" w:rsidRPr="002B30D8"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2B30D8">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2B30D8">
        <w:rPr>
          <w:rFonts w:ascii="Arial" w:hAnsi="Arial" w:cs="Arial"/>
          <w:i/>
          <w:iCs/>
          <w:color w:val="002060"/>
          <w:sz w:val="22"/>
          <w:szCs w:val="22"/>
          <w:bdr w:val="none" w:sz="0" w:space="0" w:color="auto" w:frame="1"/>
        </w:rPr>
        <w:t xml:space="preserve">have. Applications from UK, EU </w:t>
      </w:r>
      <w:r w:rsidRPr="002B30D8">
        <w:rPr>
          <w:rFonts w:ascii="Arial" w:hAnsi="Arial" w:cs="Arial"/>
          <w:i/>
          <w:iCs/>
          <w:color w:val="002060"/>
          <w:sz w:val="22"/>
          <w:szCs w:val="22"/>
          <w:bdr w:val="none" w:sz="0" w:space="0" w:color="auto" w:frame="1"/>
        </w:rPr>
        <w:t>and non-EU candidates will be welcomed.</w:t>
      </w:r>
    </w:p>
    <w:p w14:paraId="44D36F55" w14:textId="77777777" w:rsidR="005A0033" w:rsidRPr="002B30D8" w:rsidRDefault="005A0033" w:rsidP="005A0033">
      <w:pPr>
        <w:pStyle w:val="NormalWeb"/>
        <w:shd w:val="clear" w:color="auto" w:fill="FFFFFF"/>
        <w:spacing w:after="0"/>
        <w:jc w:val="both"/>
        <w:rPr>
          <w:rFonts w:ascii="Calibri" w:hAnsi="Calibri" w:cs="Calibri"/>
          <w:color w:val="002060"/>
          <w:sz w:val="22"/>
          <w:szCs w:val="22"/>
        </w:rPr>
      </w:pPr>
    </w:p>
    <w:p w14:paraId="7E62F4A7" w14:textId="77777777" w:rsidR="005A0033" w:rsidRPr="002B30D8"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2B30D8">
        <w:rPr>
          <w:rFonts w:ascii="Arial" w:hAnsi="Arial" w:cs="Arial"/>
          <w:b/>
          <w:bCs/>
          <w:i/>
          <w:iCs/>
          <w:color w:val="002060"/>
          <w:sz w:val="22"/>
          <w:szCs w:val="22"/>
          <w:bdr w:val="none" w:sz="0" w:space="0" w:color="auto" w:frame="1"/>
        </w:rPr>
        <w:t>Right to work in the United Kingdom</w:t>
      </w:r>
    </w:p>
    <w:p w14:paraId="3550B6A3" w14:textId="77777777" w:rsidR="005A0033" w:rsidRPr="002B30D8" w:rsidRDefault="005A0033" w:rsidP="005A0033">
      <w:pPr>
        <w:pStyle w:val="NormalWeb"/>
        <w:shd w:val="clear" w:color="auto" w:fill="FFFFFF"/>
        <w:spacing w:after="0"/>
        <w:rPr>
          <w:rFonts w:ascii="Calibri" w:hAnsi="Calibri" w:cs="Calibri"/>
          <w:color w:val="002060"/>
          <w:sz w:val="22"/>
          <w:szCs w:val="22"/>
        </w:rPr>
      </w:pPr>
    </w:p>
    <w:p w14:paraId="747B4A60" w14:textId="77777777" w:rsidR="005A0033" w:rsidRPr="002B30D8"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2B30D8">
        <w:rPr>
          <w:rFonts w:ascii="Arial" w:hAnsi="Arial" w:cs="Arial"/>
          <w:i/>
          <w:iCs/>
          <w:color w:val="002060"/>
          <w:sz w:val="22"/>
          <w:szCs w:val="22"/>
          <w:bdr w:val="none" w:sz="0" w:space="0" w:color="auto" w:frame="1"/>
        </w:rPr>
        <w:t>Anyone from outside of the United Kingdom (UK), excluding from the Republic of Ireland will need permission from </w:t>
      </w:r>
      <w:hyperlink r:id="rId16" w:tgtFrame="_blank" w:history="1">
        <w:r w:rsidRPr="002B30D8">
          <w:rPr>
            <w:rStyle w:val="Hyperlink"/>
            <w:rFonts w:ascii="Arial" w:hAnsi="Arial" w:cs="Arial"/>
            <w:i/>
            <w:iCs/>
            <w:color w:val="002060"/>
            <w:sz w:val="22"/>
            <w:szCs w:val="22"/>
            <w:bdr w:val="none" w:sz="0" w:space="0" w:color="auto" w:frame="1"/>
          </w:rPr>
          <w:t>UK Visas and Immigration</w:t>
        </w:r>
      </w:hyperlink>
      <w:r w:rsidRPr="002B30D8">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2B30D8" w:rsidRDefault="005A0033" w:rsidP="005A0033">
      <w:pPr>
        <w:pStyle w:val="NormalWeb"/>
        <w:shd w:val="clear" w:color="auto" w:fill="FFFFFF"/>
        <w:spacing w:after="0"/>
        <w:rPr>
          <w:color w:val="002060"/>
        </w:rPr>
      </w:pPr>
    </w:p>
    <w:p w14:paraId="35D8F9F1" w14:textId="77777777" w:rsidR="005A0033" w:rsidRPr="002B30D8" w:rsidRDefault="005A0033" w:rsidP="005A0033">
      <w:pPr>
        <w:pStyle w:val="NormalWeb"/>
        <w:shd w:val="clear" w:color="auto" w:fill="FFFFFF"/>
        <w:spacing w:after="0"/>
        <w:rPr>
          <w:rFonts w:ascii="Calibri" w:hAnsi="Calibri" w:cs="Calibri"/>
          <w:color w:val="002060"/>
          <w:sz w:val="22"/>
          <w:szCs w:val="22"/>
        </w:rPr>
      </w:pPr>
      <w:r w:rsidRPr="002B30D8">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2B30D8" w:rsidRDefault="005A0033" w:rsidP="005A0033">
      <w:pPr>
        <w:pStyle w:val="NormalWeb"/>
        <w:shd w:val="clear" w:color="auto" w:fill="FFFFFF"/>
        <w:spacing w:after="0"/>
        <w:ind w:left="1080" w:hanging="360"/>
        <w:rPr>
          <w:rFonts w:ascii="Calibri" w:hAnsi="Calibri" w:cs="Calibri"/>
          <w:color w:val="002060"/>
          <w:sz w:val="22"/>
          <w:szCs w:val="22"/>
        </w:rPr>
      </w:pPr>
      <w:r w:rsidRPr="002B30D8">
        <w:rPr>
          <w:rFonts w:ascii="Symbol" w:hAnsi="Symbol" w:cs="Calibri"/>
          <w:color w:val="002060"/>
          <w:sz w:val="22"/>
          <w:szCs w:val="22"/>
          <w:bdr w:val="none" w:sz="0" w:space="0" w:color="auto" w:frame="1"/>
        </w:rPr>
        <w:t></w:t>
      </w:r>
      <w:r w:rsidRPr="002B30D8">
        <w:rPr>
          <w:color w:val="002060"/>
          <w:sz w:val="14"/>
          <w:szCs w:val="14"/>
          <w:bdr w:val="none" w:sz="0" w:space="0" w:color="auto" w:frame="1"/>
        </w:rPr>
        <w:t>         </w:t>
      </w:r>
      <w:r w:rsidRPr="002B30D8">
        <w:rPr>
          <w:rFonts w:ascii="Arial" w:hAnsi="Arial" w:cs="Arial"/>
          <w:i/>
          <w:iCs/>
          <w:color w:val="002060"/>
          <w:sz w:val="22"/>
          <w:szCs w:val="22"/>
          <w:bdr w:val="none" w:sz="0" w:space="0" w:color="auto" w:frame="1"/>
        </w:rPr>
        <w:t>the points-based immigration system</w:t>
      </w:r>
    </w:p>
    <w:p w14:paraId="7C5BC58B" w14:textId="77777777" w:rsidR="005A0033" w:rsidRPr="002B30D8" w:rsidRDefault="005A0033" w:rsidP="005A0033">
      <w:pPr>
        <w:pStyle w:val="NormalWeb"/>
        <w:shd w:val="clear" w:color="auto" w:fill="FFFFFF"/>
        <w:spacing w:after="0"/>
        <w:ind w:left="1080" w:hanging="360"/>
        <w:rPr>
          <w:rFonts w:ascii="Calibri" w:hAnsi="Calibri" w:cs="Calibri"/>
          <w:color w:val="002060"/>
          <w:sz w:val="22"/>
          <w:szCs w:val="22"/>
        </w:rPr>
      </w:pPr>
      <w:r w:rsidRPr="002B30D8">
        <w:rPr>
          <w:rFonts w:ascii="Symbol" w:hAnsi="Symbol" w:cs="Calibri"/>
          <w:color w:val="002060"/>
          <w:sz w:val="22"/>
          <w:szCs w:val="22"/>
          <w:bdr w:val="none" w:sz="0" w:space="0" w:color="auto" w:frame="1"/>
        </w:rPr>
        <w:t></w:t>
      </w:r>
      <w:r w:rsidRPr="002B30D8">
        <w:rPr>
          <w:color w:val="002060"/>
          <w:sz w:val="14"/>
          <w:szCs w:val="14"/>
          <w:bdr w:val="none" w:sz="0" w:space="0" w:color="auto" w:frame="1"/>
        </w:rPr>
        <w:t>         </w:t>
      </w:r>
      <w:r w:rsidRPr="002B30D8">
        <w:rPr>
          <w:rFonts w:ascii="Arial" w:hAnsi="Arial" w:cs="Arial"/>
          <w:i/>
          <w:iCs/>
          <w:color w:val="002060"/>
          <w:sz w:val="22"/>
          <w:szCs w:val="22"/>
          <w:bdr w:val="none" w:sz="0" w:space="0" w:color="auto" w:frame="1"/>
        </w:rPr>
        <w:t>the EU settlement scheme</w:t>
      </w:r>
    </w:p>
    <w:p w14:paraId="67B660AD" w14:textId="77777777" w:rsidR="005A0033" w:rsidRPr="002B30D8" w:rsidRDefault="005A0033" w:rsidP="005A0033">
      <w:pPr>
        <w:pStyle w:val="NormalWeb"/>
        <w:shd w:val="clear" w:color="auto" w:fill="FFFFFF"/>
        <w:spacing w:after="0"/>
        <w:ind w:left="1080" w:hanging="360"/>
        <w:rPr>
          <w:rFonts w:ascii="Calibri" w:hAnsi="Calibri" w:cs="Calibri"/>
          <w:color w:val="002060"/>
          <w:sz w:val="22"/>
          <w:szCs w:val="22"/>
        </w:rPr>
      </w:pPr>
      <w:r w:rsidRPr="002B30D8">
        <w:rPr>
          <w:rFonts w:ascii="Symbol" w:hAnsi="Symbol" w:cs="Calibri"/>
          <w:color w:val="002060"/>
          <w:sz w:val="22"/>
          <w:szCs w:val="22"/>
          <w:bdr w:val="none" w:sz="0" w:space="0" w:color="auto" w:frame="1"/>
        </w:rPr>
        <w:t></w:t>
      </w:r>
      <w:r w:rsidRPr="002B30D8">
        <w:rPr>
          <w:color w:val="002060"/>
          <w:sz w:val="14"/>
          <w:szCs w:val="14"/>
          <w:bdr w:val="none" w:sz="0" w:space="0" w:color="auto" w:frame="1"/>
        </w:rPr>
        <w:t>         </w:t>
      </w:r>
      <w:r w:rsidRPr="002B30D8">
        <w:rPr>
          <w:rFonts w:ascii="Arial" w:hAnsi="Arial" w:cs="Arial"/>
          <w:i/>
          <w:iCs/>
          <w:color w:val="002060"/>
          <w:sz w:val="22"/>
          <w:szCs w:val="22"/>
          <w:bdr w:val="none" w:sz="0" w:space="0" w:color="auto" w:frame="1"/>
        </w:rPr>
        <w:t xml:space="preserve">a biometric residence </w:t>
      </w:r>
      <w:proofErr w:type="gramStart"/>
      <w:r w:rsidRPr="002B30D8">
        <w:rPr>
          <w:rFonts w:ascii="Arial" w:hAnsi="Arial" w:cs="Arial"/>
          <w:i/>
          <w:iCs/>
          <w:color w:val="002060"/>
          <w:sz w:val="22"/>
          <w:szCs w:val="22"/>
          <w:bdr w:val="none" w:sz="0" w:space="0" w:color="auto" w:frame="1"/>
        </w:rPr>
        <w:t>permit</w:t>
      </w:r>
      <w:proofErr w:type="gramEnd"/>
    </w:p>
    <w:p w14:paraId="5AA7BE5D" w14:textId="77777777" w:rsidR="005A0033" w:rsidRPr="002B30D8"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2B30D8"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2B30D8">
        <w:rPr>
          <w:rFonts w:ascii="Arial" w:hAnsi="Arial" w:cs="Arial"/>
          <w:i/>
          <w:iCs/>
          <w:color w:val="002060"/>
          <w:sz w:val="22"/>
          <w:szCs w:val="22"/>
          <w:bdr w:val="none" w:sz="0" w:space="0" w:color="auto" w:frame="1"/>
        </w:rPr>
        <w:t>A new </w:t>
      </w:r>
      <w:hyperlink r:id="rId17" w:tgtFrame="_blank" w:history="1">
        <w:r w:rsidRPr="002B30D8">
          <w:rPr>
            <w:rStyle w:val="Hyperlink"/>
            <w:rFonts w:ascii="Arial" w:hAnsi="Arial" w:cs="Arial"/>
            <w:i/>
            <w:iCs/>
            <w:color w:val="002060"/>
            <w:sz w:val="22"/>
            <w:szCs w:val="22"/>
            <w:bdr w:val="none" w:sz="0" w:space="0" w:color="auto" w:frame="1"/>
          </w:rPr>
          <w:t>points-based immigration system</w:t>
        </w:r>
      </w:hyperlink>
      <w:r w:rsidRPr="002B30D8">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2B30D8">
          <w:rPr>
            <w:rStyle w:val="Hyperlink"/>
            <w:rFonts w:ascii="Arial" w:hAnsi="Arial" w:cs="Arial"/>
            <w:i/>
            <w:iCs/>
            <w:color w:val="002060"/>
            <w:sz w:val="22"/>
            <w:szCs w:val="22"/>
            <w:bdr w:val="none" w:sz="0" w:space="0" w:color="auto" w:frame="1"/>
          </w:rPr>
          <w:t>EU settlement scheme</w:t>
        </w:r>
      </w:hyperlink>
      <w:r w:rsidRPr="002B30D8">
        <w:rPr>
          <w:rFonts w:ascii="Arial" w:hAnsi="Arial" w:cs="Arial"/>
          <w:i/>
          <w:iCs/>
          <w:color w:val="002060"/>
          <w:sz w:val="22"/>
          <w:szCs w:val="22"/>
          <w:bdr w:val="none" w:sz="0" w:space="0" w:color="auto" w:frame="1"/>
        </w:rPr>
        <w:t>.</w:t>
      </w:r>
    </w:p>
    <w:p w14:paraId="35C11283" w14:textId="77777777" w:rsidR="005A0033" w:rsidRPr="002B30D8" w:rsidRDefault="005A0033" w:rsidP="005A0033">
      <w:pPr>
        <w:pStyle w:val="NormalWeb"/>
        <w:shd w:val="clear" w:color="auto" w:fill="FFFFFF"/>
        <w:spacing w:after="0"/>
        <w:rPr>
          <w:rFonts w:ascii="Calibri" w:hAnsi="Calibri" w:cs="Calibri"/>
          <w:color w:val="002060"/>
          <w:sz w:val="22"/>
          <w:szCs w:val="22"/>
        </w:rPr>
      </w:pPr>
    </w:p>
    <w:p w14:paraId="4AEFFD30" w14:textId="77777777" w:rsidR="005A0033" w:rsidRPr="002B30D8" w:rsidRDefault="005A0033" w:rsidP="005A0033">
      <w:pPr>
        <w:pStyle w:val="NormalWeb"/>
        <w:shd w:val="clear" w:color="auto" w:fill="FFFFFF"/>
        <w:spacing w:after="0"/>
        <w:rPr>
          <w:rFonts w:ascii="Calibri" w:hAnsi="Calibri" w:cs="Calibri"/>
          <w:color w:val="002060"/>
          <w:sz w:val="22"/>
          <w:szCs w:val="22"/>
        </w:rPr>
      </w:pPr>
      <w:r w:rsidRPr="002B30D8">
        <w:rPr>
          <w:rFonts w:ascii="Arial" w:hAnsi="Arial" w:cs="Arial"/>
          <w:i/>
          <w:iCs/>
          <w:color w:val="002060"/>
          <w:sz w:val="22"/>
          <w:szCs w:val="22"/>
          <w:bdr w:val="none" w:sz="0" w:space="0" w:color="auto" w:frame="1"/>
        </w:rPr>
        <w:lastRenderedPageBreak/>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2B30D8">
          <w:rPr>
            <w:rStyle w:val="Hyperlink"/>
            <w:rFonts w:ascii="Arial" w:hAnsi="Arial" w:cs="Arial"/>
            <w:i/>
            <w:iCs/>
            <w:color w:val="002060"/>
            <w:sz w:val="22"/>
            <w:szCs w:val="22"/>
            <w:bdr w:val="none" w:sz="0" w:space="0" w:color="auto" w:frame="1"/>
          </w:rPr>
          <w:t>skilled worker visa</w:t>
        </w:r>
      </w:hyperlink>
      <w:r w:rsidRPr="002B30D8">
        <w:rPr>
          <w:rFonts w:ascii="Arial" w:hAnsi="Arial" w:cs="Arial"/>
          <w:i/>
          <w:iCs/>
          <w:color w:val="002060"/>
          <w:sz w:val="22"/>
          <w:szCs w:val="22"/>
          <w:bdr w:val="none" w:sz="0" w:space="0" w:color="auto" w:frame="1"/>
        </w:rPr>
        <w:t>.  A </w:t>
      </w:r>
      <w:hyperlink r:id="rId20" w:tgtFrame="_blank" w:history="1">
        <w:r w:rsidRPr="002B30D8">
          <w:rPr>
            <w:rStyle w:val="Hyperlink"/>
            <w:rFonts w:ascii="Arial" w:hAnsi="Arial" w:cs="Arial"/>
            <w:i/>
            <w:iCs/>
            <w:color w:val="002060"/>
            <w:sz w:val="22"/>
            <w:szCs w:val="22"/>
            <w:bdr w:val="none" w:sz="0" w:space="0" w:color="auto" w:frame="1"/>
          </w:rPr>
          <w:t>Health and Care Worker visa</w:t>
        </w:r>
      </w:hyperlink>
      <w:r w:rsidRPr="002B30D8">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2B30D8"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2B30D8"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2B30D8">
        <w:rPr>
          <w:rFonts w:ascii="Arial" w:hAnsi="Arial" w:cs="Arial"/>
          <w:b/>
          <w:bCs/>
          <w:i/>
          <w:iCs/>
          <w:color w:val="002060"/>
          <w:sz w:val="22"/>
          <w:szCs w:val="22"/>
          <w:bdr w:val="none" w:sz="0" w:space="0" w:color="auto" w:frame="1"/>
        </w:rPr>
        <w:t>EU settlement scheme</w:t>
      </w:r>
    </w:p>
    <w:p w14:paraId="07FAD086" w14:textId="77777777" w:rsidR="005A0033" w:rsidRPr="002B30D8" w:rsidRDefault="005A0033" w:rsidP="005A0033">
      <w:pPr>
        <w:pStyle w:val="NormalWeb"/>
        <w:shd w:val="clear" w:color="auto" w:fill="FFFFFF"/>
        <w:spacing w:after="0"/>
        <w:rPr>
          <w:rFonts w:ascii="Calibri" w:hAnsi="Calibri" w:cs="Calibri"/>
          <w:color w:val="002060"/>
          <w:sz w:val="22"/>
          <w:szCs w:val="22"/>
        </w:rPr>
      </w:pPr>
    </w:p>
    <w:p w14:paraId="3C1E54C9" w14:textId="77777777" w:rsidR="005A0033" w:rsidRPr="002B30D8"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2B30D8">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2B30D8" w:rsidRDefault="005A0033" w:rsidP="005A0033">
      <w:pPr>
        <w:pStyle w:val="NormalWeb"/>
        <w:shd w:val="clear" w:color="auto" w:fill="FFFFFF"/>
        <w:spacing w:after="0"/>
        <w:rPr>
          <w:rFonts w:ascii="Calibri" w:hAnsi="Calibri" w:cs="Calibri"/>
          <w:color w:val="002060"/>
          <w:sz w:val="22"/>
          <w:szCs w:val="22"/>
        </w:rPr>
      </w:pPr>
    </w:p>
    <w:p w14:paraId="1C34AF34" w14:textId="77777777" w:rsidR="005A0033" w:rsidRPr="002B30D8"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2B30D8">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2B30D8">
          <w:rPr>
            <w:rStyle w:val="Hyperlink"/>
            <w:rFonts w:ascii="Arial" w:hAnsi="Arial" w:cs="Arial"/>
            <w:i/>
            <w:iCs/>
            <w:color w:val="002060"/>
            <w:sz w:val="22"/>
            <w:szCs w:val="22"/>
            <w:bdr w:val="none" w:sz="0" w:space="0" w:color="auto" w:frame="1"/>
          </w:rPr>
          <w:t>scheme</w:t>
        </w:r>
      </w:hyperlink>
      <w:r w:rsidRPr="002B30D8">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r:id="rId22" w:tgtFrame="_blank" w:history="1">
        <w:r w:rsidRPr="002B30D8">
          <w:rPr>
            <w:rStyle w:val="Hyperlink"/>
            <w:rFonts w:ascii="Arial" w:hAnsi="Arial" w:cs="Arial"/>
            <w:i/>
            <w:iCs/>
            <w:color w:val="002060"/>
            <w:sz w:val="22"/>
            <w:szCs w:val="22"/>
            <w:bdr w:val="none" w:sz="0" w:space="0" w:color="auto" w:frame="1"/>
          </w:rPr>
          <w:t>EU settlement scheme</w:t>
        </w:r>
      </w:hyperlink>
      <w:r w:rsidRPr="002B30D8">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2B30D8">
        <w:rPr>
          <w:rFonts w:ascii="Arial" w:hAnsi="Arial" w:cs="Arial"/>
          <w:i/>
          <w:iCs/>
          <w:color w:val="002060"/>
          <w:sz w:val="22"/>
          <w:szCs w:val="22"/>
          <w:bdr w:val="none" w:sz="0" w:space="0" w:color="auto" w:frame="1"/>
        </w:rPr>
        <w:t>  </w:t>
      </w:r>
    </w:p>
    <w:p w14:paraId="2C321B42" w14:textId="77777777" w:rsidR="000D5B1B" w:rsidRPr="002B30D8"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2B30D8"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2B30D8">
        <w:rPr>
          <w:rFonts w:ascii="Arial" w:hAnsi="Arial" w:cs="Arial"/>
          <w:i/>
          <w:iCs/>
          <w:color w:val="002060"/>
          <w:sz w:val="22"/>
          <w:szCs w:val="22"/>
          <w:bdr w:val="none" w:sz="0" w:space="0" w:color="auto" w:frame="1"/>
        </w:rPr>
        <w:t>EU, EEA or Swiss nationals are strongly encouraged to join the </w:t>
      </w:r>
      <w:hyperlink r:id="rId23" w:tgtFrame="_blank" w:history="1">
        <w:r w:rsidRPr="002B30D8">
          <w:rPr>
            <w:i/>
            <w:iCs/>
            <w:color w:val="002060"/>
            <w:sz w:val="22"/>
            <w:szCs w:val="22"/>
          </w:rPr>
          <w:t>EU Settlement Scheme</w:t>
        </w:r>
      </w:hyperlink>
      <w:r w:rsidRPr="002B30D8">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2B30D8"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2B30D8">
        <w:rPr>
          <w:rFonts w:ascii="Arial" w:hAnsi="Arial" w:cs="Arial"/>
          <w:i/>
          <w:iCs/>
          <w:color w:val="002060"/>
          <w:sz w:val="22"/>
          <w:szCs w:val="22"/>
          <w:bdr w:val="none" w:sz="0" w:space="0" w:color="auto" w:frame="1"/>
        </w:rPr>
        <w:t> </w:t>
      </w:r>
    </w:p>
    <w:p w14:paraId="3C8C5D34" w14:textId="77777777" w:rsidR="000D5B1B" w:rsidRPr="002B30D8"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2B30D8">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2B30D8"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2B30D8">
        <w:rPr>
          <w:rFonts w:ascii="Arial" w:hAnsi="Arial" w:cs="Arial"/>
          <w:i/>
          <w:iCs/>
          <w:color w:val="002060"/>
          <w:sz w:val="22"/>
          <w:szCs w:val="22"/>
          <w:bdr w:val="none" w:sz="0" w:space="0" w:color="auto" w:frame="1"/>
        </w:rPr>
        <w:t> </w:t>
      </w:r>
    </w:p>
    <w:p w14:paraId="0D1590AF" w14:textId="77777777" w:rsidR="000D5B1B" w:rsidRPr="002B30D8" w:rsidRDefault="000D5B1B" w:rsidP="000D5B1B">
      <w:pPr>
        <w:pStyle w:val="NormalWeb"/>
        <w:shd w:val="clear" w:color="auto" w:fill="FFFFFF"/>
        <w:spacing w:after="0"/>
        <w:jc w:val="both"/>
        <w:rPr>
          <w:rFonts w:ascii="Calibri" w:hAnsi="Calibri" w:cs="Calibri"/>
          <w:color w:val="002060"/>
          <w:sz w:val="22"/>
          <w:szCs w:val="22"/>
        </w:rPr>
      </w:pPr>
      <w:r w:rsidRPr="002B30D8">
        <w:rPr>
          <w:rFonts w:ascii="Arial" w:hAnsi="Arial" w:cs="Arial"/>
          <w:i/>
          <w:iCs/>
          <w:color w:val="002060"/>
          <w:sz w:val="22"/>
          <w:szCs w:val="22"/>
          <w:bdr w:val="none" w:sz="0" w:space="0" w:color="auto" w:frame="1"/>
        </w:rPr>
        <w:t>Further information:</w:t>
      </w:r>
      <w:r w:rsidRPr="002B30D8">
        <w:rPr>
          <w:rFonts w:ascii="Arial" w:hAnsi="Arial" w:cs="Arial"/>
          <w:color w:val="002060"/>
          <w:bdr w:val="none" w:sz="0" w:space="0" w:color="auto" w:frame="1"/>
        </w:rPr>
        <w:t> </w:t>
      </w:r>
      <w:hyperlink r:id="rId24" w:tgtFrame="_blank" w:history="1">
        <w:r w:rsidRPr="002B30D8">
          <w:rPr>
            <w:rStyle w:val="Hyperlink"/>
            <w:rFonts w:ascii="Arial" w:hAnsi="Arial" w:cs="Arial"/>
            <w:color w:val="002060"/>
            <w:bdr w:val="none" w:sz="0" w:space="0" w:color="auto" w:frame="1"/>
          </w:rPr>
          <w:t>https://www.gov.uk/settled-status-eu-citizens-families</w:t>
        </w:r>
      </w:hyperlink>
      <w:r w:rsidRPr="002B30D8">
        <w:rPr>
          <w:rFonts w:ascii="Arial" w:hAnsi="Arial" w:cs="Arial"/>
          <w:color w:val="002060"/>
          <w:bdr w:val="none" w:sz="0" w:space="0" w:color="auto" w:frame="1"/>
        </w:rPr>
        <w:t>.</w:t>
      </w:r>
    </w:p>
    <w:p w14:paraId="0F5C2EF7" w14:textId="77777777" w:rsidR="005A0033" w:rsidRPr="002B30D8" w:rsidRDefault="005A0033" w:rsidP="008A52ED">
      <w:pPr>
        <w:rPr>
          <w:rFonts w:ascii="Arial" w:hAnsi="Arial" w:cs="Arial"/>
          <w:color w:val="002060"/>
          <w:sz w:val="22"/>
          <w:szCs w:val="22"/>
        </w:rPr>
      </w:pPr>
    </w:p>
    <w:p w14:paraId="5E8285B5" w14:textId="48D248D3" w:rsidR="008A52ED" w:rsidRPr="002B30D8" w:rsidRDefault="008A52ED" w:rsidP="008A52ED">
      <w:pPr>
        <w:rPr>
          <w:rFonts w:ascii="Arial" w:hAnsi="Arial" w:cs="Arial"/>
          <w:color w:val="002060"/>
          <w:sz w:val="22"/>
          <w:szCs w:val="22"/>
        </w:rPr>
      </w:pPr>
      <w:r w:rsidRPr="002B30D8">
        <w:rPr>
          <w:rFonts w:ascii="Arial" w:hAnsi="Arial" w:cs="Arial"/>
          <w:color w:val="002060"/>
          <w:sz w:val="22"/>
          <w:szCs w:val="22"/>
        </w:rPr>
        <w:t>Applicants must have full GMC Registration, a license to practise</w:t>
      </w:r>
      <w:r w:rsidR="000C537C" w:rsidRPr="002B30D8">
        <w:rPr>
          <w:rFonts w:ascii="Arial" w:hAnsi="Arial" w:cs="Arial"/>
          <w:color w:val="002060"/>
          <w:sz w:val="22"/>
          <w:szCs w:val="22"/>
        </w:rPr>
        <w:t xml:space="preserve"> </w:t>
      </w:r>
      <w:r w:rsidRPr="002B30D8">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2B30D8">
        <w:rPr>
          <w:rFonts w:ascii="Arial" w:hAnsi="Arial" w:cs="Arial"/>
          <w:color w:val="002060"/>
          <w:sz w:val="22"/>
          <w:szCs w:val="22"/>
        </w:rPr>
        <w:t xml:space="preserve">or </w:t>
      </w:r>
      <w:r w:rsidRPr="002B30D8">
        <w:rPr>
          <w:rFonts w:ascii="Arial" w:hAnsi="Arial" w:cs="Arial"/>
          <w:color w:val="002060"/>
          <w:sz w:val="22"/>
          <w:szCs w:val="22"/>
        </w:rPr>
        <w:t>be within 6 months of confirmed entry from the date of interview. </w:t>
      </w:r>
      <w:r w:rsidR="004F7347" w:rsidRPr="002B30D8">
        <w:rPr>
          <w:rFonts w:ascii="Arial" w:hAnsi="Arial" w:cs="Arial"/>
          <w:color w:val="002060"/>
          <w:sz w:val="22"/>
          <w:szCs w:val="22"/>
        </w:rPr>
        <w:t>CESR (Certificate of Eligibility for Specialist Registration) route doctors are only eligible to apply for a substantive consultant post once CESR is awarded.</w:t>
      </w:r>
      <w:r w:rsidRPr="002B30D8">
        <w:rPr>
          <w:rFonts w:ascii="Arial" w:hAnsi="Arial" w:cs="Arial"/>
          <w:color w:val="002060"/>
          <w:sz w:val="22"/>
          <w:szCs w:val="22"/>
        </w:rPr>
        <w:t xml:space="preserve"> Non-UK applicants must demonstrate equivalent training.   </w:t>
      </w:r>
    </w:p>
    <w:p w14:paraId="120A5573" w14:textId="77777777" w:rsidR="00EC208B" w:rsidRPr="002B30D8" w:rsidRDefault="00EC208B" w:rsidP="008A52ED">
      <w:pPr>
        <w:rPr>
          <w:rFonts w:ascii="Arial" w:hAnsi="Arial" w:cs="Arial"/>
          <w:color w:val="002060"/>
          <w:sz w:val="22"/>
          <w:szCs w:val="22"/>
        </w:rPr>
      </w:pPr>
    </w:p>
    <w:p w14:paraId="6D023B6F" w14:textId="77777777" w:rsidR="00EC208B" w:rsidRPr="002B30D8" w:rsidRDefault="00EC208B" w:rsidP="00EC208B">
      <w:pPr>
        <w:rPr>
          <w:rFonts w:ascii="Arial" w:hAnsi="Arial" w:cs="Arial"/>
          <w:color w:val="002060"/>
          <w:sz w:val="22"/>
          <w:szCs w:val="22"/>
        </w:rPr>
      </w:pPr>
      <w:r w:rsidRPr="002B30D8">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2B30D8" w:rsidRDefault="00EC208B" w:rsidP="00EC208B">
      <w:pPr>
        <w:rPr>
          <w:rFonts w:ascii="Arial" w:hAnsi="Arial" w:cs="Arial"/>
          <w:color w:val="002060"/>
          <w:sz w:val="22"/>
          <w:szCs w:val="22"/>
        </w:rPr>
      </w:pPr>
    </w:p>
    <w:p w14:paraId="09AEFD99" w14:textId="77777777" w:rsidR="00EC208B" w:rsidRPr="002B30D8" w:rsidRDefault="00EC208B" w:rsidP="00EC208B">
      <w:pPr>
        <w:rPr>
          <w:rFonts w:ascii="Arial" w:hAnsi="Arial" w:cs="Arial"/>
          <w:color w:val="002060"/>
          <w:sz w:val="22"/>
          <w:szCs w:val="22"/>
        </w:rPr>
      </w:pPr>
      <w:r w:rsidRPr="002B30D8">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2B30D8" w:rsidRDefault="00EC208B" w:rsidP="00EC208B">
      <w:pPr>
        <w:rPr>
          <w:rFonts w:ascii="Arial" w:hAnsi="Arial" w:cs="Arial"/>
          <w:color w:val="002060"/>
          <w:sz w:val="22"/>
          <w:szCs w:val="22"/>
        </w:rPr>
      </w:pPr>
    </w:p>
    <w:p w14:paraId="505051A3" w14:textId="309E3C23" w:rsidR="00C92639" w:rsidRPr="002B30D8" w:rsidRDefault="00EC208B" w:rsidP="00EC208B">
      <w:pPr>
        <w:rPr>
          <w:rFonts w:ascii="Arial" w:hAnsi="Arial" w:cs="Arial"/>
          <w:color w:val="002060"/>
          <w:sz w:val="22"/>
          <w:szCs w:val="22"/>
        </w:rPr>
      </w:pPr>
      <w:r w:rsidRPr="002B30D8">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4175C815" w14:textId="77777777" w:rsidR="00762885" w:rsidRPr="002B30D8" w:rsidRDefault="00762885" w:rsidP="00EC208B">
      <w:pPr>
        <w:rPr>
          <w:rFonts w:ascii="Arial" w:hAnsi="Arial" w:cs="Arial"/>
          <w:color w:val="002060"/>
          <w:sz w:val="22"/>
          <w:szCs w:val="22"/>
        </w:rPr>
      </w:pPr>
    </w:p>
    <w:p w14:paraId="3458AEBC" w14:textId="77777777" w:rsidR="008502BD" w:rsidRPr="002B30D8" w:rsidRDefault="008502BD" w:rsidP="00C92639">
      <w:pPr>
        <w:rPr>
          <w:rFonts w:ascii="Arial" w:hAnsi="Arial" w:cs="Arial"/>
          <w:color w:val="002060"/>
        </w:rPr>
      </w:pPr>
      <w:r w:rsidRPr="002B30D8">
        <w:rPr>
          <w:b/>
          <w:color w:val="002060"/>
        </w:rPr>
        <w:t xml:space="preserve">For further information regarding NHS Greater Glasgow and Clyde and its hospitals, please visit our website </w:t>
      </w:r>
      <w:hyperlink r:id="rId25" w:history="1">
        <w:r w:rsidRPr="002B30D8">
          <w:rPr>
            <w:rStyle w:val="Hyperlink"/>
            <w:b/>
            <w:color w:val="002060"/>
          </w:rPr>
          <w:t>www.nhs.ggc.org.uk</w:t>
        </w:r>
      </w:hyperlink>
    </w:p>
    <w:p w14:paraId="493437F1" w14:textId="77777777" w:rsidR="009241F2" w:rsidRPr="002B30D8" w:rsidRDefault="009241F2" w:rsidP="00315293">
      <w:pPr>
        <w:kinsoku w:val="0"/>
        <w:overflowPunct w:val="0"/>
        <w:jc w:val="both"/>
        <w:rPr>
          <w:rFonts w:ascii="Arial" w:hAnsi="Arial" w:cs="Arial"/>
          <w:b/>
          <w:color w:val="002060"/>
        </w:rPr>
      </w:pPr>
    </w:p>
    <w:p w14:paraId="7352E3A0" w14:textId="77777777" w:rsidR="00294E61" w:rsidRPr="002B30D8" w:rsidRDefault="00294E61" w:rsidP="009241F2">
      <w:pPr>
        <w:kinsoku w:val="0"/>
        <w:overflowPunct w:val="0"/>
        <w:jc w:val="both"/>
        <w:rPr>
          <w:rFonts w:ascii="Arial" w:hAnsi="Arial" w:cs="Arial"/>
          <w:b/>
          <w:bCs/>
          <w:color w:val="002060"/>
          <w:sz w:val="32"/>
          <w:szCs w:val="32"/>
        </w:rPr>
      </w:pPr>
    </w:p>
    <w:p w14:paraId="6A907F26" w14:textId="77777777" w:rsidR="00294E61" w:rsidRPr="002B30D8" w:rsidRDefault="008502BD" w:rsidP="00294E61">
      <w:pPr>
        <w:kinsoku w:val="0"/>
        <w:overflowPunct w:val="0"/>
        <w:jc w:val="both"/>
        <w:rPr>
          <w:rFonts w:ascii="Arial" w:hAnsi="Arial" w:cs="Arial"/>
          <w:b/>
          <w:bCs/>
          <w:color w:val="002060"/>
          <w:sz w:val="32"/>
          <w:szCs w:val="32"/>
        </w:rPr>
      </w:pPr>
      <w:r w:rsidRPr="002B30D8">
        <w:rPr>
          <w:rFonts w:ascii="Arial" w:hAnsi="Arial" w:cs="Arial"/>
          <w:b/>
          <w:bCs/>
          <w:color w:val="002060"/>
          <w:sz w:val="32"/>
          <w:szCs w:val="32"/>
        </w:rPr>
        <w:t>Section 2:</w:t>
      </w:r>
    </w:p>
    <w:p w14:paraId="446AD48F" w14:textId="77777777" w:rsidR="00294E61" w:rsidRPr="002B30D8" w:rsidRDefault="00294E61" w:rsidP="00294E61">
      <w:pPr>
        <w:kinsoku w:val="0"/>
        <w:overflowPunct w:val="0"/>
        <w:jc w:val="both"/>
        <w:rPr>
          <w:rFonts w:ascii="Arial" w:hAnsi="Arial" w:cs="Arial"/>
          <w:b/>
          <w:bCs/>
          <w:color w:val="002060"/>
          <w:sz w:val="32"/>
          <w:szCs w:val="32"/>
        </w:rPr>
      </w:pPr>
    </w:p>
    <w:p w14:paraId="6C5789CB" w14:textId="77777777" w:rsidR="002B30D8" w:rsidRPr="002B30D8" w:rsidRDefault="002B30D8" w:rsidP="002B30D8">
      <w:pPr>
        <w:pStyle w:val="Heading1"/>
        <w:ind w:left="0"/>
        <w:rPr>
          <w:color w:val="002060"/>
        </w:rPr>
      </w:pPr>
      <w:r w:rsidRPr="002B30D8">
        <w:rPr>
          <w:color w:val="002060"/>
        </w:rPr>
        <w:t>Health Boar</w:t>
      </w:r>
      <w:r w:rsidRPr="002B30D8">
        <w:rPr>
          <w:color w:val="002060"/>
        </w:rPr>
        <w:t>d</w:t>
      </w:r>
    </w:p>
    <w:p w14:paraId="52069F7A" w14:textId="77777777" w:rsidR="002B30D8" w:rsidRPr="002B30D8" w:rsidRDefault="002B30D8" w:rsidP="002B30D8">
      <w:pPr>
        <w:pStyle w:val="Heading1"/>
        <w:ind w:left="-360" w:firstLine="0"/>
        <w:rPr>
          <w:color w:val="002060"/>
        </w:rPr>
      </w:pPr>
    </w:p>
    <w:p w14:paraId="40236B42" w14:textId="77777777" w:rsidR="002B30D8" w:rsidRPr="002B30D8" w:rsidRDefault="002B30D8" w:rsidP="002B30D8">
      <w:pPr>
        <w:pStyle w:val="Heading1"/>
        <w:ind w:left="-360" w:firstLine="0"/>
        <w:rPr>
          <w:b w:val="0"/>
          <w:bCs w:val="0"/>
          <w:color w:val="002060"/>
          <w:lang w:val="en-US"/>
        </w:rPr>
      </w:pPr>
      <w:r w:rsidRPr="002B30D8">
        <w:rPr>
          <w:b w:val="0"/>
          <w:bCs w:val="0"/>
          <w:color w:val="002060"/>
          <w:lang w:val="en-US"/>
        </w:rPr>
        <w:t xml:space="preserve">NHS Greater Glasgow and Clyde </w:t>
      </w:r>
      <w:r w:rsidRPr="002B30D8">
        <w:rPr>
          <w:b w:val="0"/>
          <w:bCs w:val="0"/>
          <w:color w:val="002060"/>
        </w:rPr>
        <w:t>is the largest health board in Scotland</w:t>
      </w:r>
      <w:r w:rsidRPr="002B30D8">
        <w:rPr>
          <w:b w:val="0"/>
          <w:bCs w:val="0"/>
          <w:color w:val="002060"/>
          <w:lang w:val="en-US"/>
        </w:rPr>
        <w:t xml:space="preserve"> and serves a population of 1.1 million people. There are 5 hospitals north of the </w:t>
      </w:r>
      <w:proofErr w:type="gramStart"/>
      <w:r w:rsidRPr="002B30D8">
        <w:rPr>
          <w:b w:val="0"/>
          <w:bCs w:val="0"/>
          <w:color w:val="002060"/>
          <w:lang w:val="en-US"/>
        </w:rPr>
        <w:t>River</w:t>
      </w:r>
      <w:proofErr w:type="gramEnd"/>
      <w:r w:rsidRPr="002B30D8">
        <w:rPr>
          <w:b w:val="0"/>
          <w:bCs w:val="0"/>
          <w:color w:val="002060"/>
          <w:lang w:val="en-US"/>
        </w:rPr>
        <w:t xml:space="preserve"> Clyde, all with teaching responsibilities: Glasgow Royal Infirmary (including Princess Royal Maternity), New Stobhill Hospital, Lightburn Hospital, Glasgow Dental Hospital and School and </w:t>
      </w:r>
      <w:proofErr w:type="spellStart"/>
      <w:r w:rsidRPr="002B30D8">
        <w:rPr>
          <w:b w:val="0"/>
          <w:bCs w:val="0"/>
          <w:color w:val="002060"/>
          <w:lang w:val="en-US"/>
        </w:rPr>
        <w:t>Gartnavel</w:t>
      </w:r>
      <w:proofErr w:type="spellEnd"/>
      <w:r w:rsidRPr="002B30D8">
        <w:rPr>
          <w:b w:val="0"/>
          <w:bCs w:val="0"/>
          <w:color w:val="002060"/>
          <w:lang w:val="en-US"/>
        </w:rPr>
        <w:t xml:space="preserve"> General Hospital.  Three hospitals are situated </w:t>
      </w:r>
      <w:proofErr w:type="gramStart"/>
      <w:r w:rsidRPr="002B30D8">
        <w:rPr>
          <w:b w:val="0"/>
          <w:bCs w:val="0"/>
          <w:color w:val="002060"/>
          <w:lang w:val="en-US"/>
        </w:rPr>
        <w:t>in</w:t>
      </w:r>
      <w:proofErr w:type="gramEnd"/>
      <w:r w:rsidRPr="002B30D8">
        <w:rPr>
          <w:b w:val="0"/>
          <w:bCs w:val="0"/>
          <w:color w:val="002060"/>
          <w:lang w:val="en-US"/>
        </w:rPr>
        <w:t xml:space="preserve"> the south side of the city: Queen Elizabeth University Hospital, Victoria Ambulatory Care Hospital and </w:t>
      </w:r>
      <w:proofErr w:type="spellStart"/>
      <w:r w:rsidRPr="002B30D8">
        <w:rPr>
          <w:b w:val="0"/>
          <w:bCs w:val="0"/>
          <w:color w:val="002060"/>
          <w:lang w:val="en-US"/>
        </w:rPr>
        <w:t>Dykebar</w:t>
      </w:r>
      <w:proofErr w:type="spellEnd"/>
      <w:r w:rsidRPr="002B30D8">
        <w:rPr>
          <w:b w:val="0"/>
          <w:bCs w:val="0"/>
          <w:color w:val="002060"/>
          <w:lang w:val="en-US"/>
        </w:rPr>
        <w:t xml:space="preserve"> Hospital.  The acute Hospitals sites in Clyde are the Royal Alexandra Hospital, Inverclyde Royal </w:t>
      </w:r>
      <w:proofErr w:type="gramStart"/>
      <w:r w:rsidRPr="002B30D8">
        <w:rPr>
          <w:b w:val="0"/>
          <w:bCs w:val="0"/>
          <w:color w:val="002060"/>
          <w:lang w:val="en-US"/>
        </w:rPr>
        <w:t>Hospital</w:t>
      </w:r>
      <w:proofErr w:type="gramEnd"/>
      <w:r w:rsidRPr="002B30D8">
        <w:rPr>
          <w:b w:val="0"/>
          <w:bCs w:val="0"/>
          <w:color w:val="002060"/>
          <w:lang w:val="en-US"/>
        </w:rPr>
        <w:t xml:space="preserve"> and the Vale of Leven Hospital.  The Golden Jubilee National Hospital (GJNH) in Clydebank is the setting for the West of Scotland Heart and Lung Centre.  The </w:t>
      </w:r>
      <w:proofErr w:type="spellStart"/>
      <w:r w:rsidRPr="002B30D8">
        <w:rPr>
          <w:b w:val="0"/>
          <w:bCs w:val="0"/>
          <w:color w:val="002060"/>
          <w:lang w:val="en-US"/>
        </w:rPr>
        <w:t>centre</w:t>
      </w:r>
      <w:proofErr w:type="spellEnd"/>
      <w:r w:rsidRPr="002B30D8">
        <w:rPr>
          <w:b w:val="0"/>
          <w:bCs w:val="0"/>
          <w:color w:val="002060"/>
          <w:lang w:val="en-US"/>
        </w:rPr>
        <w:t xml:space="preserve"> </w:t>
      </w:r>
      <w:proofErr w:type="gramStart"/>
      <w:r w:rsidRPr="002B30D8">
        <w:rPr>
          <w:b w:val="0"/>
          <w:bCs w:val="0"/>
          <w:color w:val="002060"/>
          <w:lang w:val="en-US"/>
        </w:rPr>
        <w:t>brings together,</w:t>
      </w:r>
      <w:proofErr w:type="gramEnd"/>
      <w:r w:rsidRPr="002B30D8">
        <w:rPr>
          <w:b w:val="0"/>
          <w:bCs w:val="0"/>
          <w:color w:val="002060"/>
          <w:lang w:val="en-US"/>
        </w:rPr>
        <w:t xml:space="preserve"> on a single site, cardiothoracic surgical services for the West of Scotland and is the dedicated unit for all interventional cardiology including primary ORS for NHS Greater Glasgow and Clyde and most surrounding Health Boards. </w:t>
      </w:r>
    </w:p>
    <w:p w14:paraId="27DDCB7D" w14:textId="77777777" w:rsidR="002B30D8" w:rsidRPr="002B30D8" w:rsidRDefault="002B30D8" w:rsidP="002B30D8">
      <w:pPr>
        <w:pStyle w:val="Heading1"/>
        <w:ind w:left="-360" w:firstLine="0"/>
        <w:rPr>
          <w:b w:val="0"/>
          <w:bCs w:val="0"/>
          <w:color w:val="002060"/>
          <w:lang w:val="en-US"/>
        </w:rPr>
      </w:pPr>
    </w:p>
    <w:p w14:paraId="18470EFF" w14:textId="77777777" w:rsidR="002B30D8" w:rsidRPr="002B30D8" w:rsidRDefault="002B30D8" w:rsidP="002B30D8">
      <w:pPr>
        <w:pStyle w:val="Heading1"/>
        <w:ind w:left="-360" w:firstLine="0"/>
        <w:rPr>
          <w:color w:val="002060"/>
          <w:lang w:val="en-US"/>
        </w:rPr>
      </w:pPr>
      <w:r w:rsidRPr="002B30D8">
        <w:rPr>
          <w:color w:val="002060"/>
          <w:lang w:val="en-US"/>
        </w:rPr>
        <w:t xml:space="preserve">Acute Services Division </w:t>
      </w:r>
    </w:p>
    <w:p w14:paraId="04E1C4E4" w14:textId="77777777" w:rsidR="002B30D8" w:rsidRPr="002B30D8" w:rsidRDefault="002B30D8" w:rsidP="002B30D8">
      <w:pPr>
        <w:pStyle w:val="Heading1"/>
        <w:ind w:left="-360" w:firstLine="0"/>
        <w:rPr>
          <w:color w:val="002060"/>
          <w:lang w:val="en-US"/>
        </w:rPr>
      </w:pPr>
    </w:p>
    <w:p w14:paraId="27637D6F" w14:textId="77777777" w:rsidR="002B30D8" w:rsidRPr="002B30D8" w:rsidRDefault="002B30D8" w:rsidP="002B30D8">
      <w:pPr>
        <w:pStyle w:val="Heading1"/>
        <w:ind w:left="-360" w:firstLine="0"/>
        <w:rPr>
          <w:b w:val="0"/>
          <w:bCs w:val="0"/>
          <w:color w:val="002060"/>
          <w:lang w:val="en-US"/>
        </w:rPr>
      </w:pPr>
      <w:r w:rsidRPr="002B30D8">
        <w:rPr>
          <w:b w:val="0"/>
          <w:bCs w:val="0"/>
          <w:color w:val="002060"/>
          <w:lang w:val="en-US"/>
        </w:rPr>
        <w:t xml:space="preserve">The Acute Services Division is the largest group of adult acute hospitals in Scotland.  It enjoys close links with Glasgow’s three universities and makes a significant contribution to teaching at both undergraduate and postgraduate level.  Research also has a high profile within the </w:t>
      </w:r>
      <w:proofErr w:type="spellStart"/>
      <w:r w:rsidRPr="002B30D8">
        <w:rPr>
          <w:b w:val="0"/>
          <w:bCs w:val="0"/>
          <w:color w:val="002060"/>
          <w:lang w:val="en-US"/>
        </w:rPr>
        <w:t>organisation</w:t>
      </w:r>
      <w:proofErr w:type="spellEnd"/>
      <w:r w:rsidRPr="002B30D8">
        <w:rPr>
          <w:b w:val="0"/>
          <w:bCs w:val="0"/>
          <w:color w:val="002060"/>
          <w:lang w:val="en-US"/>
        </w:rPr>
        <w:t xml:space="preserve">.  Excellent education facilities are also provided at Glasgow Royal Infirmary and the ambulatory care hospital at Stobhill Hospital.  The Service in North Glasgow presently employs more than 14,300 staff serving a core catchment population of 560,000. </w:t>
      </w:r>
    </w:p>
    <w:p w14:paraId="779D392E" w14:textId="77777777" w:rsidR="002B30D8" w:rsidRPr="002B30D8" w:rsidRDefault="002B30D8" w:rsidP="002B30D8">
      <w:pPr>
        <w:pStyle w:val="Heading1"/>
        <w:ind w:left="-360" w:firstLine="0"/>
        <w:rPr>
          <w:b w:val="0"/>
          <w:bCs w:val="0"/>
          <w:color w:val="002060"/>
          <w:lang w:val="en-US"/>
        </w:rPr>
      </w:pPr>
    </w:p>
    <w:p w14:paraId="66DEDAA0" w14:textId="77777777" w:rsidR="002B30D8" w:rsidRPr="002B30D8" w:rsidRDefault="002B30D8" w:rsidP="002B30D8">
      <w:pPr>
        <w:pStyle w:val="Heading1"/>
        <w:ind w:left="-360" w:firstLine="0"/>
        <w:rPr>
          <w:color w:val="002060"/>
          <w:lang w:val="en-US"/>
        </w:rPr>
      </w:pPr>
      <w:r w:rsidRPr="002B30D8">
        <w:rPr>
          <w:color w:val="002060"/>
          <w:lang w:val="en-US"/>
        </w:rPr>
        <w:t>Glasgow Royal Infirmary</w:t>
      </w:r>
    </w:p>
    <w:p w14:paraId="61AFDC50" w14:textId="77777777" w:rsidR="002B30D8" w:rsidRPr="002B30D8" w:rsidRDefault="002B30D8" w:rsidP="002B30D8">
      <w:pPr>
        <w:pStyle w:val="Heading1"/>
        <w:ind w:left="-360" w:firstLine="0"/>
        <w:rPr>
          <w:color w:val="002060"/>
          <w:lang w:val="en-US"/>
        </w:rPr>
      </w:pPr>
    </w:p>
    <w:p w14:paraId="52772D22" w14:textId="77777777" w:rsidR="002B30D8" w:rsidRPr="002B30D8" w:rsidRDefault="002B30D8" w:rsidP="002B30D8">
      <w:pPr>
        <w:pStyle w:val="Heading1"/>
        <w:ind w:left="-360" w:firstLine="0"/>
        <w:rPr>
          <w:b w:val="0"/>
          <w:bCs w:val="0"/>
          <w:color w:val="002060"/>
        </w:rPr>
      </w:pPr>
      <w:r w:rsidRPr="002B30D8">
        <w:rPr>
          <w:b w:val="0"/>
          <w:bCs w:val="0"/>
          <w:color w:val="002060"/>
        </w:rPr>
        <w:t xml:space="preserve">Glasgow Royal Infirmary (GRI) is one of the major teaching complexes of the University of Glasgow.  It provides the Accident and Emergency service for the North and Eastern districts of Glasgow and has inpatients beds in general medicine, medicine for the elderly, general surgery, orthopaedics, plastic surgery and obstetrics and gynaecology.  There are also beds in intensive care, high dependency, and coronary care. </w:t>
      </w:r>
    </w:p>
    <w:p w14:paraId="67D7D96A" w14:textId="77777777" w:rsidR="002B30D8" w:rsidRPr="002B30D8" w:rsidRDefault="002B30D8" w:rsidP="002B30D8">
      <w:pPr>
        <w:pStyle w:val="Heading1"/>
        <w:ind w:left="-360" w:firstLine="0"/>
        <w:rPr>
          <w:b w:val="0"/>
          <w:bCs w:val="0"/>
          <w:color w:val="002060"/>
        </w:rPr>
      </w:pPr>
    </w:p>
    <w:p w14:paraId="348EDA5F" w14:textId="77777777" w:rsidR="002B30D8" w:rsidRPr="002B30D8" w:rsidRDefault="002B30D8" w:rsidP="002B30D8">
      <w:pPr>
        <w:pStyle w:val="Heading1"/>
        <w:ind w:left="-360" w:firstLine="0"/>
        <w:rPr>
          <w:b w:val="0"/>
          <w:bCs w:val="0"/>
          <w:color w:val="002060"/>
        </w:rPr>
      </w:pPr>
      <w:r w:rsidRPr="002B30D8">
        <w:rPr>
          <w:b w:val="0"/>
          <w:bCs w:val="0"/>
          <w:color w:val="002060"/>
        </w:rPr>
        <w:t xml:space="preserve">GRI is well equipped for undergraduate and postgraduate teaching.  There are academic units in Anaesthetics, Cardiology, Human Nutrition, Medicine, Surgery, and Obstetrics and Gynaecology. </w:t>
      </w:r>
    </w:p>
    <w:p w14:paraId="57F4D186" w14:textId="77777777" w:rsidR="002B30D8" w:rsidRPr="002B30D8" w:rsidRDefault="002B30D8" w:rsidP="002B30D8">
      <w:pPr>
        <w:pStyle w:val="Heading1"/>
        <w:ind w:left="-360" w:firstLine="0"/>
        <w:rPr>
          <w:b w:val="0"/>
          <w:bCs w:val="0"/>
          <w:color w:val="002060"/>
        </w:rPr>
      </w:pPr>
    </w:p>
    <w:p w14:paraId="5C16EAAF" w14:textId="77777777" w:rsidR="002B30D8" w:rsidRPr="002B30D8" w:rsidRDefault="002B30D8" w:rsidP="002B30D8">
      <w:pPr>
        <w:pStyle w:val="Heading1"/>
        <w:ind w:left="-360" w:firstLine="0"/>
        <w:rPr>
          <w:color w:val="002060"/>
        </w:rPr>
      </w:pPr>
      <w:r w:rsidRPr="002B30D8">
        <w:rPr>
          <w:color w:val="002060"/>
        </w:rPr>
        <w:t xml:space="preserve">Acute Medical Receiving </w:t>
      </w:r>
    </w:p>
    <w:p w14:paraId="165B989A" w14:textId="77777777" w:rsidR="002B30D8" w:rsidRPr="002B30D8" w:rsidRDefault="002B30D8" w:rsidP="002B30D8">
      <w:pPr>
        <w:pStyle w:val="Heading1"/>
        <w:ind w:left="-360" w:firstLine="0"/>
        <w:rPr>
          <w:color w:val="002060"/>
        </w:rPr>
      </w:pPr>
    </w:p>
    <w:p w14:paraId="5E79C6AD" w14:textId="77777777" w:rsidR="002B30D8" w:rsidRPr="002B30D8" w:rsidRDefault="002B30D8" w:rsidP="002B30D8">
      <w:pPr>
        <w:pStyle w:val="Heading1"/>
        <w:ind w:left="-360" w:firstLine="0"/>
        <w:rPr>
          <w:b w:val="0"/>
          <w:bCs w:val="0"/>
          <w:color w:val="002060"/>
        </w:rPr>
      </w:pPr>
      <w:r w:rsidRPr="002B30D8">
        <w:rPr>
          <w:b w:val="0"/>
          <w:bCs w:val="0"/>
          <w:color w:val="002060"/>
        </w:rPr>
        <w:t xml:space="preserve">Medical emergencies which range from 80-90 per day on weekdays, less at weekends, are admitted through the Acute Assessment Unit (AAU) or Emergency Department (ED) to the Acute Medical Receiving Unit (AMRU), Coronary Care Unit or Acute General Cardiology Receiving Unit and Medical High Dependency unit (MHDU).  Five Consultant Physicians take part in acute receiving each day in the AMRU with morning and evening ward rounds and contribute to the provision of consultant on-call rota.   Acute Cardiology receiving and Coronary Care are covered by a consultant of the week model and a separate Consultant Cardiologist on-call rota. </w:t>
      </w:r>
    </w:p>
    <w:p w14:paraId="081DF91B" w14:textId="77777777" w:rsidR="002B30D8" w:rsidRPr="002B30D8" w:rsidRDefault="002B30D8" w:rsidP="002B30D8">
      <w:pPr>
        <w:pStyle w:val="Heading1"/>
        <w:ind w:left="-360" w:firstLine="0"/>
        <w:rPr>
          <w:b w:val="0"/>
          <w:bCs w:val="0"/>
          <w:color w:val="002060"/>
        </w:rPr>
      </w:pPr>
    </w:p>
    <w:p w14:paraId="0653143F" w14:textId="00C7B2AB" w:rsidR="002B30D8" w:rsidRPr="002B30D8" w:rsidRDefault="002B30D8" w:rsidP="002B30D8">
      <w:pPr>
        <w:pStyle w:val="Heading1"/>
        <w:ind w:left="-360" w:firstLine="0"/>
        <w:rPr>
          <w:b w:val="0"/>
          <w:bCs w:val="0"/>
          <w:color w:val="002060"/>
          <w:lang w:val="en-US"/>
        </w:rPr>
      </w:pPr>
      <w:r w:rsidRPr="002B30D8">
        <w:rPr>
          <w:color w:val="002060"/>
        </w:rPr>
        <w:t xml:space="preserve">Acute Medical Unit </w:t>
      </w:r>
    </w:p>
    <w:p w14:paraId="74E404CC" w14:textId="77777777" w:rsidR="002B30D8" w:rsidRPr="002B30D8" w:rsidRDefault="002B30D8" w:rsidP="002B30D8">
      <w:pPr>
        <w:rPr>
          <w:rFonts w:ascii="Arial" w:hAnsi="Arial" w:cs="Arial"/>
          <w:color w:val="002060"/>
        </w:rPr>
      </w:pPr>
      <w:r w:rsidRPr="002B30D8">
        <w:rPr>
          <w:rFonts w:ascii="Arial" w:hAnsi="Arial" w:cs="Arial"/>
          <w:color w:val="002060"/>
        </w:rPr>
        <w:t xml:space="preserve">This comprises 4 geographically defined ward areas covered by specific specialty teams – General Medical, Respiratory, Gastroenterology and Medicine for the Elderly.  Within ward 53 (medicine for the elderly) there is also a hyper acute stroke unit (HASU).  Where bed availability permits patients with specific conditions will be triaged to the appropriate specialty team </w:t>
      </w:r>
      <w:proofErr w:type="gramStart"/>
      <w:r w:rsidRPr="002B30D8">
        <w:rPr>
          <w:rFonts w:ascii="Arial" w:hAnsi="Arial" w:cs="Arial"/>
          <w:color w:val="002060"/>
        </w:rPr>
        <w:t>e.g.</w:t>
      </w:r>
      <w:proofErr w:type="gramEnd"/>
      <w:r w:rsidRPr="002B30D8">
        <w:rPr>
          <w:rFonts w:ascii="Arial" w:hAnsi="Arial" w:cs="Arial"/>
          <w:color w:val="002060"/>
        </w:rPr>
        <w:t xml:space="preserve"> patient with GI bleed to Gastroenterology area.  </w:t>
      </w:r>
      <w:r w:rsidRPr="002B30D8">
        <w:rPr>
          <w:rFonts w:ascii="Arial" w:hAnsi="Arial" w:cs="Arial"/>
          <w:color w:val="002060"/>
        </w:rPr>
        <w:lastRenderedPageBreak/>
        <w:t xml:space="preserve">Five consultant physicians take part in acute receiving each day in the AMU with morning and evening ward rounds.  Patients requiring a short stay will be discharged from AMRU.  Those requiring longer stays are transferred ‘downstream’ to medical these ‘downstream’ medical wards are split into specialty units. 4 specialty units have primary responsibility to general (internal) medicine, namely, Diabetes and Endocrinology, Respiratory Medicine, Rheumatology, and Gastroenterology. Consultants from the department of medicine for the elderly (DOME) contribute to receiving duties, but also have </w:t>
      </w:r>
      <w:proofErr w:type="gramStart"/>
      <w:r w:rsidRPr="002B30D8">
        <w:rPr>
          <w:rFonts w:ascii="Arial" w:hAnsi="Arial" w:cs="Arial"/>
          <w:color w:val="002060"/>
        </w:rPr>
        <w:t>a number of</w:t>
      </w:r>
      <w:proofErr w:type="gramEnd"/>
      <w:r w:rsidRPr="002B30D8">
        <w:rPr>
          <w:rFonts w:ascii="Arial" w:hAnsi="Arial" w:cs="Arial"/>
          <w:color w:val="002060"/>
        </w:rPr>
        <w:t xml:space="preserve"> inpatient wards in Glasgow Royal Infirmary with additional rehabilitation beds at Lightburn Hospital and Stobhill Hospital. There is a separate Stroke Ward. </w:t>
      </w:r>
    </w:p>
    <w:p w14:paraId="6A990AF4" w14:textId="77777777" w:rsidR="002B30D8" w:rsidRPr="002B30D8" w:rsidRDefault="002B30D8" w:rsidP="002B30D8">
      <w:pPr>
        <w:rPr>
          <w:rFonts w:ascii="Arial" w:hAnsi="Arial" w:cs="Arial"/>
          <w:i/>
          <w:color w:val="002060"/>
        </w:rPr>
      </w:pPr>
    </w:p>
    <w:p w14:paraId="0C4634CB" w14:textId="77777777" w:rsidR="002B30D8" w:rsidRPr="002B30D8" w:rsidRDefault="002B30D8" w:rsidP="002B30D8">
      <w:pPr>
        <w:rPr>
          <w:rFonts w:ascii="Arial" w:hAnsi="Arial" w:cs="Arial"/>
          <w:i/>
          <w:color w:val="002060"/>
        </w:rPr>
      </w:pPr>
      <w:r w:rsidRPr="002B30D8">
        <w:rPr>
          <w:rFonts w:ascii="Arial" w:hAnsi="Arial" w:cs="Arial"/>
          <w:i/>
          <w:color w:val="002060"/>
        </w:rPr>
        <w:t>AMU Beds by Specialty</w:t>
      </w:r>
    </w:p>
    <w:p w14:paraId="3340D911" w14:textId="77777777" w:rsidR="002B30D8" w:rsidRPr="002B30D8" w:rsidRDefault="002B30D8" w:rsidP="002B30D8">
      <w:pPr>
        <w:rPr>
          <w:rFonts w:ascii="Arial" w:hAnsi="Arial" w:cs="Arial"/>
          <w:color w:val="002060"/>
        </w:rPr>
      </w:pPr>
    </w:p>
    <w:tbl>
      <w:tblPr>
        <w:tblW w:w="7414" w:type="dxa"/>
        <w:tblInd w:w="-601" w:type="dxa"/>
        <w:tblLook w:val="04A0" w:firstRow="1" w:lastRow="0" w:firstColumn="1" w:lastColumn="0" w:noHBand="0" w:noVBand="1"/>
      </w:tblPr>
      <w:tblGrid>
        <w:gridCol w:w="1654"/>
        <w:gridCol w:w="960"/>
        <w:gridCol w:w="960"/>
        <w:gridCol w:w="960"/>
        <w:gridCol w:w="960"/>
        <w:gridCol w:w="960"/>
        <w:gridCol w:w="960"/>
      </w:tblGrid>
      <w:tr w:rsidR="002B30D8" w:rsidRPr="002B30D8" w14:paraId="780497FD" w14:textId="77777777" w:rsidTr="001F5A30">
        <w:trPr>
          <w:trHeight w:val="300"/>
        </w:trPr>
        <w:tc>
          <w:tcPr>
            <w:tcW w:w="16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6416C6" w14:textId="77777777" w:rsidR="002B30D8" w:rsidRPr="002B30D8" w:rsidRDefault="002B30D8" w:rsidP="002B30D8">
            <w:pPr>
              <w:rPr>
                <w:rFonts w:ascii="Calibri" w:hAnsi="Calibri"/>
                <w:b/>
                <w:bCs/>
                <w:color w:val="002060"/>
                <w:sz w:val="22"/>
                <w:szCs w:val="22"/>
              </w:rPr>
            </w:pPr>
            <w:r w:rsidRPr="002B30D8">
              <w:rPr>
                <w:rFonts w:ascii="Calibri" w:hAnsi="Calibri"/>
                <w:b/>
                <w:bCs/>
                <w:color w:val="002060"/>
                <w:sz w:val="22"/>
                <w:szCs w:val="22"/>
              </w:rPr>
              <w:t>Gastro</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CAB1A0" w14:textId="77777777" w:rsidR="002B30D8" w:rsidRPr="002B30D8" w:rsidRDefault="002B30D8" w:rsidP="002B30D8">
            <w:pPr>
              <w:rPr>
                <w:rFonts w:ascii="Calibri" w:hAnsi="Calibri"/>
                <w:b/>
                <w:bCs/>
                <w:color w:val="002060"/>
                <w:sz w:val="22"/>
                <w:szCs w:val="22"/>
              </w:rPr>
            </w:pPr>
            <w:r w:rsidRPr="002B30D8">
              <w:rPr>
                <w:rFonts w:ascii="Calibri" w:hAnsi="Calibri"/>
                <w:b/>
                <w:bCs/>
                <w:color w:val="002060"/>
                <w:sz w:val="22"/>
                <w:szCs w:val="22"/>
              </w:rPr>
              <w:t>Gen   Med</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0D1F2A" w14:textId="77777777" w:rsidR="002B30D8" w:rsidRPr="002B30D8" w:rsidRDefault="002B30D8" w:rsidP="002B30D8">
            <w:pPr>
              <w:rPr>
                <w:rFonts w:ascii="Calibri" w:hAnsi="Calibri"/>
                <w:b/>
                <w:bCs/>
                <w:color w:val="002060"/>
                <w:sz w:val="22"/>
                <w:szCs w:val="22"/>
              </w:rPr>
            </w:pPr>
            <w:proofErr w:type="spellStart"/>
            <w:r w:rsidRPr="002B30D8">
              <w:rPr>
                <w:rFonts w:ascii="Calibri" w:hAnsi="Calibri"/>
                <w:b/>
                <w:bCs/>
                <w:color w:val="002060"/>
                <w:sz w:val="22"/>
                <w:szCs w:val="22"/>
              </w:rPr>
              <w:t>Resp</w:t>
            </w:r>
            <w:proofErr w:type="spellEnd"/>
            <w:r w:rsidRPr="002B30D8">
              <w:rPr>
                <w:rFonts w:ascii="Calibri" w:hAnsi="Calibri"/>
                <w:b/>
                <w:bCs/>
                <w:color w:val="002060"/>
                <w:sz w:val="22"/>
                <w:szCs w:val="22"/>
              </w:rPr>
              <w:t xml:space="preserve">   </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717882" w14:textId="77777777" w:rsidR="002B30D8" w:rsidRPr="002B30D8" w:rsidRDefault="002B30D8" w:rsidP="002B30D8">
            <w:pPr>
              <w:rPr>
                <w:rFonts w:ascii="Calibri" w:hAnsi="Calibri"/>
                <w:b/>
                <w:bCs/>
                <w:color w:val="002060"/>
                <w:sz w:val="22"/>
                <w:szCs w:val="22"/>
              </w:rPr>
            </w:pPr>
            <w:r w:rsidRPr="002B30D8">
              <w:rPr>
                <w:rFonts w:ascii="Calibri" w:hAnsi="Calibri"/>
                <w:b/>
                <w:bCs/>
                <w:color w:val="002060"/>
                <w:sz w:val="22"/>
                <w:szCs w:val="22"/>
              </w:rPr>
              <w:t>DME</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28DC6E" w14:textId="77777777" w:rsidR="002B30D8" w:rsidRPr="002B30D8" w:rsidRDefault="002B30D8" w:rsidP="002B30D8">
            <w:pPr>
              <w:rPr>
                <w:rFonts w:ascii="Calibri" w:hAnsi="Calibri"/>
                <w:b/>
                <w:bCs/>
                <w:color w:val="002060"/>
                <w:sz w:val="22"/>
                <w:szCs w:val="22"/>
              </w:rPr>
            </w:pPr>
            <w:r w:rsidRPr="002B30D8">
              <w:rPr>
                <w:rFonts w:ascii="Calibri" w:hAnsi="Calibri"/>
                <w:b/>
                <w:bCs/>
                <w:color w:val="002060"/>
                <w:sz w:val="22"/>
                <w:szCs w:val="22"/>
              </w:rPr>
              <w:t>HASU</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9D538E" w14:textId="77777777" w:rsidR="002B30D8" w:rsidRPr="002B30D8" w:rsidRDefault="002B30D8" w:rsidP="002B30D8">
            <w:pPr>
              <w:rPr>
                <w:rFonts w:ascii="Calibri" w:hAnsi="Calibri"/>
                <w:b/>
                <w:bCs/>
                <w:color w:val="002060"/>
                <w:sz w:val="22"/>
                <w:szCs w:val="22"/>
              </w:rPr>
            </w:pPr>
            <w:r w:rsidRPr="002B30D8">
              <w:rPr>
                <w:rFonts w:ascii="Calibri" w:hAnsi="Calibri"/>
                <w:b/>
                <w:bCs/>
                <w:color w:val="002060"/>
                <w:sz w:val="22"/>
                <w:szCs w:val="22"/>
              </w:rPr>
              <w:t>MHDU</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9B687F" w14:textId="77777777" w:rsidR="002B30D8" w:rsidRPr="002B30D8" w:rsidRDefault="002B30D8" w:rsidP="002B30D8">
            <w:pPr>
              <w:rPr>
                <w:rFonts w:ascii="Calibri" w:hAnsi="Calibri"/>
                <w:b/>
                <w:bCs/>
                <w:color w:val="002060"/>
                <w:sz w:val="22"/>
                <w:szCs w:val="22"/>
              </w:rPr>
            </w:pPr>
            <w:r w:rsidRPr="002B30D8">
              <w:rPr>
                <w:rFonts w:ascii="Calibri" w:hAnsi="Calibri"/>
                <w:b/>
                <w:bCs/>
                <w:color w:val="002060"/>
                <w:sz w:val="22"/>
                <w:szCs w:val="22"/>
              </w:rPr>
              <w:t>Total</w:t>
            </w:r>
          </w:p>
        </w:tc>
      </w:tr>
      <w:tr w:rsidR="002B30D8" w:rsidRPr="002B30D8" w14:paraId="5560AB7B" w14:textId="77777777" w:rsidTr="001F5A30">
        <w:trPr>
          <w:trHeight w:val="315"/>
        </w:trPr>
        <w:tc>
          <w:tcPr>
            <w:tcW w:w="1654" w:type="dxa"/>
            <w:vMerge/>
            <w:tcBorders>
              <w:top w:val="single" w:sz="8" w:space="0" w:color="auto"/>
              <w:left w:val="single" w:sz="8" w:space="0" w:color="auto"/>
              <w:bottom w:val="single" w:sz="8" w:space="0" w:color="000000"/>
              <w:right w:val="single" w:sz="8" w:space="0" w:color="auto"/>
            </w:tcBorders>
            <w:vAlign w:val="center"/>
            <w:hideMark/>
          </w:tcPr>
          <w:p w14:paraId="6347CC87" w14:textId="77777777" w:rsidR="002B30D8" w:rsidRPr="002B30D8" w:rsidRDefault="002B30D8" w:rsidP="002B30D8">
            <w:pPr>
              <w:rPr>
                <w:rFonts w:ascii="Calibri" w:hAnsi="Calibri"/>
                <w:b/>
                <w:bCs/>
                <w:color w:val="00206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47E4E8D" w14:textId="77777777" w:rsidR="002B30D8" w:rsidRPr="002B30D8" w:rsidRDefault="002B30D8" w:rsidP="002B30D8">
            <w:pPr>
              <w:rPr>
                <w:rFonts w:ascii="Calibri" w:hAnsi="Calibri"/>
                <w:b/>
                <w:bCs/>
                <w:color w:val="00206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0C986C90" w14:textId="77777777" w:rsidR="002B30D8" w:rsidRPr="002B30D8" w:rsidRDefault="002B30D8" w:rsidP="002B30D8">
            <w:pPr>
              <w:rPr>
                <w:rFonts w:ascii="Calibri" w:hAnsi="Calibri"/>
                <w:b/>
                <w:bCs/>
                <w:color w:val="00206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4E899505" w14:textId="77777777" w:rsidR="002B30D8" w:rsidRPr="002B30D8" w:rsidRDefault="002B30D8" w:rsidP="002B30D8">
            <w:pPr>
              <w:rPr>
                <w:rFonts w:ascii="Calibri" w:hAnsi="Calibri"/>
                <w:b/>
                <w:bCs/>
                <w:color w:val="00206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0F26D050" w14:textId="77777777" w:rsidR="002B30D8" w:rsidRPr="002B30D8" w:rsidRDefault="002B30D8" w:rsidP="002B30D8">
            <w:pPr>
              <w:rPr>
                <w:rFonts w:ascii="Calibri" w:hAnsi="Calibri"/>
                <w:b/>
                <w:bCs/>
                <w:color w:val="00206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F124B54" w14:textId="77777777" w:rsidR="002B30D8" w:rsidRPr="002B30D8" w:rsidRDefault="002B30D8" w:rsidP="002B30D8">
            <w:pPr>
              <w:rPr>
                <w:rFonts w:ascii="Calibri" w:hAnsi="Calibri"/>
                <w:b/>
                <w:bCs/>
                <w:color w:val="002060"/>
                <w:sz w:val="22"/>
                <w:szCs w:val="22"/>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BE0AD2E" w14:textId="77777777" w:rsidR="002B30D8" w:rsidRPr="002B30D8" w:rsidRDefault="002B30D8" w:rsidP="002B30D8">
            <w:pPr>
              <w:rPr>
                <w:rFonts w:ascii="Calibri" w:hAnsi="Calibri"/>
                <w:b/>
                <w:bCs/>
                <w:color w:val="002060"/>
                <w:sz w:val="22"/>
                <w:szCs w:val="22"/>
              </w:rPr>
            </w:pPr>
          </w:p>
        </w:tc>
      </w:tr>
      <w:tr w:rsidR="002B30D8" w:rsidRPr="002B30D8" w14:paraId="7B9B154D" w14:textId="77777777" w:rsidTr="001F5A30">
        <w:trPr>
          <w:trHeight w:val="315"/>
        </w:trPr>
        <w:tc>
          <w:tcPr>
            <w:tcW w:w="1654" w:type="dxa"/>
            <w:tcBorders>
              <w:top w:val="nil"/>
              <w:left w:val="single" w:sz="8" w:space="0" w:color="auto"/>
              <w:bottom w:val="single" w:sz="8" w:space="0" w:color="auto"/>
              <w:right w:val="single" w:sz="8" w:space="0" w:color="auto"/>
            </w:tcBorders>
            <w:shd w:val="clear" w:color="auto" w:fill="auto"/>
            <w:vAlign w:val="center"/>
            <w:hideMark/>
          </w:tcPr>
          <w:p w14:paraId="789F6B7E" w14:textId="77777777" w:rsidR="002B30D8" w:rsidRPr="002B30D8" w:rsidRDefault="002B30D8" w:rsidP="002B30D8">
            <w:pPr>
              <w:rPr>
                <w:rFonts w:ascii="Calibri" w:hAnsi="Calibri"/>
                <w:color w:val="002060"/>
                <w:sz w:val="22"/>
                <w:szCs w:val="22"/>
              </w:rPr>
            </w:pPr>
            <w:r w:rsidRPr="002B30D8">
              <w:rPr>
                <w:rFonts w:ascii="Calibri" w:hAnsi="Calibri"/>
                <w:color w:val="002060"/>
                <w:sz w:val="22"/>
                <w:szCs w:val="22"/>
              </w:rPr>
              <w:t>13</w:t>
            </w:r>
          </w:p>
        </w:tc>
        <w:tc>
          <w:tcPr>
            <w:tcW w:w="960" w:type="dxa"/>
            <w:tcBorders>
              <w:top w:val="nil"/>
              <w:left w:val="nil"/>
              <w:bottom w:val="single" w:sz="8" w:space="0" w:color="auto"/>
              <w:right w:val="single" w:sz="8" w:space="0" w:color="auto"/>
            </w:tcBorders>
            <w:shd w:val="clear" w:color="auto" w:fill="auto"/>
            <w:vAlign w:val="center"/>
            <w:hideMark/>
          </w:tcPr>
          <w:p w14:paraId="16EBAA80" w14:textId="77777777" w:rsidR="002B30D8" w:rsidRPr="002B30D8" w:rsidRDefault="002B30D8" w:rsidP="002B30D8">
            <w:pPr>
              <w:rPr>
                <w:rFonts w:ascii="Calibri" w:hAnsi="Calibri"/>
                <w:color w:val="002060"/>
                <w:sz w:val="22"/>
                <w:szCs w:val="22"/>
              </w:rPr>
            </w:pPr>
            <w:r w:rsidRPr="002B30D8">
              <w:rPr>
                <w:rFonts w:ascii="Calibri" w:hAnsi="Calibri"/>
                <w:color w:val="002060"/>
                <w:sz w:val="22"/>
                <w:szCs w:val="22"/>
              </w:rPr>
              <w:t>17</w:t>
            </w:r>
          </w:p>
        </w:tc>
        <w:tc>
          <w:tcPr>
            <w:tcW w:w="960" w:type="dxa"/>
            <w:tcBorders>
              <w:top w:val="nil"/>
              <w:left w:val="nil"/>
              <w:bottom w:val="single" w:sz="8" w:space="0" w:color="auto"/>
              <w:right w:val="single" w:sz="8" w:space="0" w:color="auto"/>
            </w:tcBorders>
            <w:shd w:val="clear" w:color="auto" w:fill="auto"/>
            <w:vAlign w:val="center"/>
            <w:hideMark/>
          </w:tcPr>
          <w:p w14:paraId="69F8AF5D" w14:textId="77777777" w:rsidR="002B30D8" w:rsidRPr="002B30D8" w:rsidRDefault="002B30D8" w:rsidP="002B30D8">
            <w:pPr>
              <w:rPr>
                <w:rFonts w:ascii="Calibri" w:hAnsi="Calibri"/>
                <w:color w:val="002060"/>
                <w:sz w:val="22"/>
                <w:szCs w:val="22"/>
              </w:rPr>
            </w:pPr>
            <w:r w:rsidRPr="002B30D8">
              <w:rPr>
                <w:rFonts w:ascii="Calibri" w:hAnsi="Calibri"/>
                <w:color w:val="002060"/>
                <w:sz w:val="22"/>
                <w:szCs w:val="22"/>
              </w:rPr>
              <w:t>16</w:t>
            </w:r>
          </w:p>
        </w:tc>
        <w:tc>
          <w:tcPr>
            <w:tcW w:w="960" w:type="dxa"/>
            <w:tcBorders>
              <w:top w:val="nil"/>
              <w:left w:val="nil"/>
              <w:bottom w:val="single" w:sz="8" w:space="0" w:color="auto"/>
              <w:right w:val="single" w:sz="8" w:space="0" w:color="auto"/>
            </w:tcBorders>
            <w:shd w:val="clear" w:color="auto" w:fill="auto"/>
            <w:vAlign w:val="center"/>
            <w:hideMark/>
          </w:tcPr>
          <w:p w14:paraId="046C6BD7" w14:textId="77777777" w:rsidR="002B30D8" w:rsidRPr="002B30D8" w:rsidRDefault="002B30D8" w:rsidP="002B30D8">
            <w:pPr>
              <w:rPr>
                <w:rFonts w:ascii="Calibri" w:hAnsi="Calibri"/>
                <w:color w:val="002060"/>
                <w:sz w:val="22"/>
                <w:szCs w:val="22"/>
              </w:rPr>
            </w:pPr>
            <w:r w:rsidRPr="002B30D8">
              <w:rPr>
                <w:rFonts w:ascii="Calibri" w:hAnsi="Calibri"/>
                <w:color w:val="002060"/>
                <w:sz w:val="22"/>
                <w:szCs w:val="22"/>
              </w:rPr>
              <w:t>17</w:t>
            </w:r>
          </w:p>
        </w:tc>
        <w:tc>
          <w:tcPr>
            <w:tcW w:w="960" w:type="dxa"/>
            <w:tcBorders>
              <w:top w:val="nil"/>
              <w:left w:val="nil"/>
              <w:bottom w:val="single" w:sz="8" w:space="0" w:color="auto"/>
              <w:right w:val="single" w:sz="8" w:space="0" w:color="auto"/>
            </w:tcBorders>
            <w:shd w:val="clear" w:color="auto" w:fill="auto"/>
            <w:vAlign w:val="center"/>
            <w:hideMark/>
          </w:tcPr>
          <w:p w14:paraId="4E71BD8B" w14:textId="77777777" w:rsidR="002B30D8" w:rsidRPr="002B30D8" w:rsidRDefault="002B30D8" w:rsidP="002B30D8">
            <w:pPr>
              <w:rPr>
                <w:rFonts w:ascii="Calibri" w:hAnsi="Calibri"/>
                <w:color w:val="002060"/>
                <w:sz w:val="22"/>
                <w:szCs w:val="22"/>
              </w:rPr>
            </w:pPr>
            <w:r w:rsidRPr="002B30D8">
              <w:rPr>
                <w:rFonts w:ascii="Calibri" w:hAnsi="Calibri"/>
                <w:color w:val="002060"/>
                <w:sz w:val="22"/>
                <w:szCs w:val="22"/>
              </w:rPr>
              <w:t>5</w:t>
            </w:r>
          </w:p>
        </w:tc>
        <w:tc>
          <w:tcPr>
            <w:tcW w:w="960" w:type="dxa"/>
            <w:tcBorders>
              <w:top w:val="nil"/>
              <w:left w:val="nil"/>
              <w:bottom w:val="single" w:sz="8" w:space="0" w:color="auto"/>
              <w:right w:val="single" w:sz="8" w:space="0" w:color="auto"/>
            </w:tcBorders>
            <w:shd w:val="clear" w:color="auto" w:fill="auto"/>
            <w:vAlign w:val="center"/>
            <w:hideMark/>
          </w:tcPr>
          <w:p w14:paraId="7C815E4D" w14:textId="77777777" w:rsidR="002B30D8" w:rsidRPr="002B30D8" w:rsidRDefault="002B30D8" w:rsidP="002B30D8">
            <w:pPr>
              <w:rPr>
                <w:rFonts w:ascii="Calibri" w:hAnsi="Calibri"/>
                <w:color w:val="002060"/>
                <w:sz w:val="22"/>
                <w:szCs w:val="22"/>
              </w:rPr>
            </w:pPr>
            <w:r w:rsidRPr="002B30D8">
              <w:rPr>
                <w:rFonts w:ascii="Calibri" w:hAnsi="Calibri"/>
                <w:color w:val="002060"/>
                <w:sz w:val="22"/>
                <w:szCs w:val="22"/>
              </w:rPr>
              <w:t>8</w:t>
            </w:r>
          </w:p>
        </w:tc>
        <w:tc>
          <w:tcPr>
            <w:tcW w:w="960" w:type="dxa"/>
            <w:tcBorders>
              <w:top w:val="nil"/>
              <w:left w:val="nil"/>
              <w:bottom w:val="single" w:sz="8" w:space="0" w:color="auto"/>
              <w:right w:val="single" w:sz="8" w:space="0" w:color="auto"/>
            </w:tcBorders>
            <w:shd w:val="clear" w:color="auto" w:fill="auto"/>
            <w:vAlign w:val="center"/>
            <w:hideMark/>
          </w:tcPr>
          <w:p w14:paraId="0A0BA3E4" w14:textId="77777777" w:rsidR="002B30D8" w:rsidRPr="002B30D8" w:rsidRDefault="002B30D8" w:rsidP="002B30D8">
            <w:pPr>
              <w:rPr>
                <w:rFonts w:ascii="Calibri" w:hAnsi="Calibri"/>
                <w:color w:val="002060"/>
                <w:sz w:val="22"/>
                <w:szCs w:val="22"/>
              </w:rPr>
            </w:pPr>
            <w:r w:rsidRPr="002B30D8">
              <w:rPr>
                <w:rFonts w:ascii="Calibri" w:hAnsi="Calibri"/>
                <w:color w:val="002060"/>
                <w:sz w:val="22"/>
                <w:szCs w:val="22"/>
              </w:rPr>
              <w:t>76</w:t>
            </w:r>
          </w:p>
        </w:tc>
      </w:tr>
    </w:tbl>
    <w:p w14:paraId="078D2303" w14:textId="77777777" w:rsidR="002B30D8" w:rsidRPr="002B30D8" w:rsidRDefault="002B30D8" w:rsidP="002B30D8">
      <w:pPr>
        <w:rPr>
          <w:rFonts w:ascii="Arial" w:hAnsi="Arial" w:cs="Arial"/>
          <w:color w:val="002060"/>
        </w:rPr>
      </w:pPr>
    </w:p>
    <w:p w14:paraId="202955DE" w14:textId="77777777" w:rsidR="002B30D8" w:rsidRPr="002B30D8" w:rsidRDefault="002B30D8" w:rsidP="002B30D8">
      <w:pPr>
        <w:rPr>
          <w:rFonts w:ascii="Arial" w:hAnsi="Arial" w:cs="Arial"/>
          <w:b/>
          <w:color w:val="002060"/>
        </w:rPr>
      </w:pPr>
      <w:r w:rsidRPr="002B30D8">
        <w:rPr>
          <w:rFonts w:ascii="Arial" w:hAnsi="Arial" w:cs="Arial"/>
          <w:b/>
          <w:color w:val="002060"/>
        </w:rPr>
        <w:t xml:space="preserve">Cardiology </w:t>
      </w:r>
    </w:p>
    <w:p w14:paraId="6CCFE928" w14:textId="77777777" w:rsidR="002B30D8" w:rsidRPr="002B30D8" w:rsidRDefault="002B30D8" w:rsidP="002B30D8">
      <w:pPr>
        <w:rPr>
          <w:rFonts w:ascii="Arial" w:hAnsi="Arial" w:cs="Arial"/>
          <w:color w:val="002060"/>
        </w:rPr>
      </w:pPr>
      <w:r w:rsidRPr="002B30D8">
        <w:rPr>
          <w:rFonts w:ascii="Arial" w:hAnsi="Arial" w:cs="Arial"/>
          <w:color w:val="002060"/>
        </w:rPr>
        <w:t xml:space="preserve">The Cardiology unit is accommodated in four wards with capacity for 65 Cardiology in-patients, inclusive of 8 CCU beds, 20 acute cardiology receiving and 37 general cardiology.   Cardiology out-patient care is delivered in both Glasgow Royal Infirmary and the New Stobhill Ambulatory Care Hospital (ACH).  There are strong links with the Regional Heart and Lung Centre, based at the Golden Jubilee National Hospital. </w:t>
      </w:r>
    </w:p>
    <w:p w14:paraId="7F30969E" w14:textId="77777777" w:rsidR="002B30D8" w:rsidRPr="002B30D8" w:rsidRDefault="002B30D8" w:rsidP="002B30D8">
      <w:pPr>
        <w:rPr>
          <w:rFonts w:ascii="Arial" w:hAnsi="Arial" w:cs="Arial"/>
          <w:color w:val="002060"/>
        </w:rPr>
      </w:pPr>
    </w:p>
    <w:p w14:paraId="060F2B9B" w14:textId="77777777" w:rsidR="002B30D8" w:rsidRPr="002B30D8" w:rsidRDefault="002B30D8" w:rsidP="002B30D8">
      <w:pPr>
        <w:rPr>
          <w:rFonts w:ascii="Arial" w:hAnsi="Arial" w:cs="Arial"/>
          <w:b/>
          <w:color w:val="002060"/>
        </w:rPr>
      </w:pPr>
      <w:r w:rsidRPr="002B30D8">
        <w:rPr>
          <w:rFonts w:ascii="Arial" w:hAnsi="Arial" w:cs="Arial"/>
          <w:b/>
          <w:color w:val="002060"/>
        </w:rPr>
        <w:t>Diabetes, Endocrinology &amp; Clinical Pharmacology</w:t>
      </w:r>
    </w:p>
    <w:p w14:paraId="0F0884B2" w14:textId="77777777" w:rsidR="002B30D8" w:rsidRPr="002B30D8" w:rsidRDefault="002B30D8" w:rsidP="002B30D8">
      <w:pPr>
        <w:rPr>
          <w:rFonts w:ascii="Arial" w:hAnsi="Arial" w:cs="Arial"/>
          <w:color w:val="002060"/>
        </w:rPr>
      </w:pPr>
      <w:r w:rsidRPr="002B30D8">
        <w:rPr>
          <w:rFonts w:ascii="Arial" w:hAnsi="Arial" w:cs="Arial"/>
          <w:color w:val="002060"/>
        </w:rPr>
        <w:t xml:space="preserve">Consultants from the Department of Diabetes, Endocrinology and Clinical Pharmacology provide senior cover for three wards with capacity for 52 </w:t>
      </w:r>
      <w:proofErr w:type="gramStart"/>
      <w:r w:rsidRPr="002B30D8">
        <w:rPr>
          <w:rFonts w:ascii="Arial" w:hAnsi="Arial" w:cs="Arial"/>
          <w:color w:val="002060"/>
        </w:rPr>
        <w:t>general</w:t>
      </w:r>
      <w:proofErr w:type="gramEnd"/>
      <w:r w:rsidRPr="002B30D8">
        <w:rPr>
          <w:rFonts w:ascii="Arial" w:hAnsi="Arial" w:cs="Arial"/>
          <w:color w:val="002060"/>
        </w:rPr>
        <w:t xml:space="preserve"> medical, diabetes and endocrinology in-patients.  Diabetes and Endocrinology out-patient care is delivered in the New Stobhill Ambulatory Care Hospital (ACH).  In addition to </w:t>
      </w:r>
      <w:proofErr w:type="gramStart"/>
      <w:r w:rsidRPr="002B30D8">
        <w:rPr>
          <w:rFonts w:ascii="Arial" w:hAnsi="Arial" w:cs="Arial"/>
          <w:color w:val="002060"/>
        </w:rPr>
        <w:t>Consultants</w:t>
      </w:r>
      <w:proofErr w:type="gramEnd"/>
      <w:r w:rsidRPr="002B30D8">
        <w:rPr>
          <w:rFonts w:ascii="Arial" w:hAnsi="Arial" w:cs="Arial"/>
          <w:color w:val="002060"/>
        </w:rPr>
        <w:t xml:space="preserve"> within the department, diabetes and endocrinology clinics are also delivered by Consultant Biochemists, Specialty Doctors and GPs with Special Interest.  There is support from nurse specialists in diabetes and endocrinology, dieticians, podiatrists, nursing auxiliaries and clerical staff.</w:t>
      </w:r>
    </w:p>
    <w:p w14:paraId="54D75AA8" w14:textId="77777777" w:rsidR="002B30D8" w:rsidRPr="002B30D8" w:rsidRDefault="002B30D8" w:rsidP="002B30D8">
      <w:pPr>
        <w:rPr>
          <w:rFonts w:ascii="Arial" w:hAnsi="Arial" w:cs="Arial"/>
          <w:b/>
          <w:color w:val="002060"/>
        </w:rPr>
      </w:pPr>
    </w:p>
    <w:p w14:paraId="60CE2DA0" w14:textId="77777777" w:rsidR="002B30D8" w:rsidRPr="002B30D8" w:rsidRDefault="002B30D8" w:rsidP="002B30D8">
      <w:pPr>
        <w:rPr>
          <w:rFonts w:ascii="Arial" w:hAnsi="Arial" w:cs="Arial"/>
          <w:b/>
          <w:color w:val="002060"/>
        </w:rPr>
      </w:pPr>
      <w:r w:rsidRPr="002B30D8">
        <w:rPr>
          <w:rFonts w:ascii="Arial" w:hAnsi="Arial" w:cs="Arial"/>
          <w:b/>
          <w:color w:val="002060"/>
        </w:rPr>
        <w:t xml:space="preserve">Rheumatology </w:t>
      </w:r>
    </w:p>
    <w:p w14:paraId="60B941F1" w14:textId="77777777" w:rsidR="002B30D8" w:rsidRPr="002B30D8" w:rsidRDefault="002B30D8" w:rsidP="002B30D8">
      <w:pPr>
        <w:rPr>
          <w:rFonts w:ascii="Arial" w:hAnsi="Arial" w:cs="Arial"/>
          <w:color w:val="002060"/>
        </w:rPr>
      </w:pPr>
      <w:r w:rsidRPr="002B30D8">
        <w:rPr>
          <w:rFonts w:ascii="Arial" w:hAnsi="Arial" w:cs="Arial"/>
          <w:color w:val="002060"/>
        </w:rPr>
        <w:t xml:space="preserve">The Rheumatology /General Medical unit is accommodated in four ward wards with capacity for 52 general medical and rheumatology in-patients.  Rheumatology out-patient care is delivered in both Glasgow Royal Infirmary and the New Stobhill Ambulatory Care Hospital (ACH).  There is support from nurse specialists in Rheumatology, physiotherapists, occupational </w:t>
      </w:r>
      <w:proofErr w:type="gramStart"/>
      <w:r w:rsidRPr="002B30D8">
        <w:rPr>
          <w:rFonts w:ascii="Arial" w:hAnsi="Arial" w:cs="Arial"/>
          <w:color w:val="002060"/>
        </w:rPr>
        <w:t>therapist</w:t>
      </w:r>
      <w:proofErr w:type="gramEnd"/>
      <w:r w:rsidRPr="002B30D8">
        <w:rPr>
          <w:rFonts w:ascii="Arial" w:hAnsi="Arial" w:cs="Arial"/>
          <w:color w:val="002060"/>
        </w:rPr>
        <w:t xml:space="preserve"> and clerical staff, based in Clinic Area A of the ACH. </w:t>
      </w:r>
    </w:p>
    <w:p w14:paraId="3AFEF730" w14:textId="77777777" w:rsidR="002B30D8" w:rsidRPr="002B30D8" w:rsidRDefault="002B30D8" w:rsidP="002B30D8">
      <w:pPr>
        <w:rPr>
          <w:rFonts w:ascii="Arial" w:hAnsi="Arial" w:cs="Arial"/>
          <w:b/>
          <w:color w:val="002060"/>
        </w:rPr>
      </w:pPr>
    </w:p>
    <w:p w14:paraId="79B80731" w14:textId="59D42792" w:rsidR="002B30D8" w:rsidRPr="002B30D8" w:rsidRDefault="002B30D8" w:rsidP="002B30D8">
      <w:pPr>
        <w:rPr>
          <w:rFonts w:ascii="Arial" w:hAnsi="Arial" w:cs="Arial"/>
          <w:b/>
          <w:color w:val="002060"/>
        </w:rPr>
      </w:pPr>
      <w:r w:rsidRPr="002B30D8">
        <w:rPr>
          <w:rFonts w:ascii="Arial" w:hAnsi="Arial" w:cs="Arial"/>
          <w:b/>
          <w:color w:val="002060"/>
        </w:rPr>
        <w:t xml:space="preserve">Respiratory </w:t>
      </w:r>
    </w:p>
    <w:p w14:paraId="23F8CD33" w14:textId="77777777" w:rsidR="002B30D8" w:rsidRPr="002B30D8" w:rsidRDefault="002B30D8" w:rsidP="002B30D8">
      <w:pPr>
        <w:rPr>
          <w:rFonts w:ascii="Arial" w:hAnsi="Arial" w:cs="Arial"/>
          <w:color w:val="002060"/>
        </w:rPr>
      </w:pPr>
      <w:r w:rsidRPr="002B30D8">
        <w:rPr>
          <w:rFonts w:ascii="Arial" w:hAnsi="Arial" w:cs="Arial"/>
          <w:color w:val="002060"/>
        </w:rPr>
        <w:t xml:space="preserve">The Respiratory/General Medical unit is accommodated in four ward wards with capacity for 60 general medical and rheumatology in-patients.  Respiratory out-patient care is delivered in both Glasgow Royal Infirmary and the New Stobhill Ambulatory Care Hospital (ACH).  There is support from nurse specialists in auxiliaries and clerical staff, based in Clinic Area D of the ACH. </w:t>
      </w:r>
    </w:p>
    <w:p w14:paraId="1AE4F4AC" w14:textId="77777777" w:rsidR="002B30D8" w:rsidRPr="002B30D8" w:rsidRDefault="002B30D8" w:rsidP="002B30D8">
      <w:pPr>
        <w:rPr>
          <w:rFonts w:ascii="Arial" w:hAnsi="Arial" w:cs="Arial"/>
          <w:color w:val="002060"/>
        </w:rPr>
      </w:pPr>
    </w:p>
    <w:p w14:paraId="5C8B2779" w14:textId="77777777" w:rsidR="002B30D8" w:rsidRPr="002B30D8" w:rsidRDefault="002B30D8" w:rsidP="002B30D8">
      <w:pPr>
        <w:rPr>
          <w:rFonts w:ascii="Arial" w:hAnsi="Arial" w:cs="Arial"/>
          <w:b/>
          <w:color w:val="002060"/>
        </w:rPr>
      </w:pPr>
      <w:r w:rsidRPr="002B30D8">
        <w:rPr>
          <w:rFonts w:ascii="Arial" w:hAnsi="Arial" w:cs="Arial"/>
          <w:b/>
          <w:color w:val="002060"/>
        </w:rPr>
        <w:t xml:space="preserve">Gastroenterology </w:t>
      </w:r>
    </w:p>
    <w:p w14:paraId="6176479D" w14:textId="77777777" w:rsidR="002B30D8" w:rsidRPr="002B30D8" w:rsidRDefault="002B30D8" w:rsidP="002B30D8">
      <w:pPr>
        <w:rPr>
          <w:rFonts w:ascii="Arial" w:hAnsi="Arial" w:cs="Arial"/>
          <w:color w:val="002060"/>
        </w:rPr>
      </w:pPr>
      <w:r w:rsidRPr="002B30D8">
        <w:rPr>
          <w:rFonts w:ascii="Arial" w:hAnsi="Arial" w:cs="Arial"/>
          <w:color w:val="002060"/>
        </w:rPr>
        <w:t xml:space="preserve">The Gastroenterology/General Medical unit is accommodated in two ward wards with capacity for 37 general medical and gastroenterology in-patients.  Gastroenterology </w:t>
      </w:r>
      <w:r w:rsidRPr="002B30D8">
        <w:rPr>
          <w:rFonts w:ascii="Arial" w:hAnsi="Arial" w:cs="Arial"/>
          <w:color w:val="002060"/>
        </w:rPr>
        <w:lastRenderedPageBreak/>
        <w:t xml:space="preserve">out-patient care is delivered in both Glasgow Royal Infirmary and the New Stobhill Ambulatory Care Hospital (ACH).  There is also an out of hours Gastroenterology Bleeders rota.  There is support from nurse specialists in auxiliaries and clerical staff, based in Clinic Area D of the ACH. </w:t>
      </w:r>
    </w:p>
    <w:p w14:paraId="11A63924" w14:textId="77777777" w:rsidR="002B30D8" w:rsidRPr="002B30D8" w:rsidRDefault="002B30D8" w:rsidP="002B30D8">
      <w:pPr>
        <w:rPr>
          <w:rFonts w:ascii="Arial" w:hAnsi="Arial" w:cs="Arial"/>
          <w:color w:val="002060"/>
        </w:rPr>
      </w:pPr>
    </w:p>
    <w:p w14:paraId="30EACB28" w14:textId="77777777" w:rsidR="002B30D8" w:rsidRPr="002B30D8" w:rsidRDefault="002B30D8" w:rsidP="002B30D8">
      <w:pPr>
        <w:rPr>
          <w:rFonts w:ascii="Arial" w:hAnsi="Arial" w:cs="Arial"/>
          <w:color w:val="002060"/>
        </w:rPr>
      </w:pPr>
      <w:r w:rsidRPr="002B30D8">
        <w:rPr>
          <w:rFonts w:ascii="Arial" w:hAnsi="Arial" w:cs="Arial"/>
          <w:color w:val="002060"/>
        </w:rPr>
        <w:t xml:space="preserve">All services are supported by nurse specialists, other </w:t>
      </w:r>
      <w:proofErr w:type="gramStart"/>
      <w:r w:rsidRPr="002B30D8">
        <w:rPr>
          <w:rFonts w:ascii="Arial" w:hAnsi="Arial" w:cs="Arial"/>
          <w:color w:val="002060"/>
        </w:rPr>
        <w:t>service related</w:t>
      </w:r>
      <w:proofErr w:type="gramEnd"/>
      <w:r w:rsidRPr="002B30D8">
        <w:rPr>
          <w:rFonts w:ascii="Arial" w:hAnsi="Arial" w:cs="Arial"/>
          <w:color w:val="002060"/>
        </w:rPr>
        <w:t xml:space="preserve"> Allied Health Professional and administrative staff.</w:t>
      </w:r>
    </w:p>
    <w:p w14:paraId="3A809666" w14:textId="77777777" w:rsidR="002B30D8" w:rsidRPr="002B30D8" w:rsidRDefault="002B30D8" w:rsidP="002B30D8">
      <w:pPr>
        <w:rPr>
          <w:rFonts w:ascii="Arial" w:hAnsi="Arial" w:cs="Arial"/>
          <w:color w:val="002060"/>
        </w:rPr>
      </w:pPr>
    </w:p>
    <w:p w14:paraId="72168ADD" w14:textId="77777777" w:rsidR="002B30D8" w:rsidRPr="002B30D8" w:rsidRDefault="002B30D8" w:rsidP="002B30D8">
      <w:pPr>
        <w:rPr>
          <w:rFonts w:ascii="Arial" w:hAnsi="Arial" w:cs="Arial"/>
          <w:b/>
          <w:bCs/>
          <w:color w:val="002060"/>
        </w:rPr>
      </w:pPr>
      <w:r w:rsidRPr="002B30D8">
        <w:rPr>
          <w:rFonts w:ascii="Arial" w:hAnsi="Arial" w:cs="Arial"/>
          <w:b/>
          <w:bCs/>
          <w:color w:val="002060"/>
        </w:rPr>
        <w:t>Duties of the Post</w:t>
      </w:r>
    </w:p>
    <w:p w14:paraId="7D5F55D1" w14:textId="77777777" w:rsidR="002B30D8" w:rsidRPr="002B30D8" w:rsidRDefault="002B30D8" w:rsidP="002B30D8">
      <w:pPr>
        <w:rPr>
          <w:rFonts w:ascii="Arial" w:hAnsi="Arial" w:cs="Arial"/>
          <w:color w:val="002060"/>
        </w:rPr>
      </w:pPr>
      <w:r w:rsidRPr="002B30D8">
        <w:rPr>
          <w:rFonts w:ascii="Arial" w:hAnsi="Arial" w:cs="Arial"/>
          <w:color w:val="002060"/>
        </w:rPr>
        <w:t xml:space="preserve">This post constitutes a </w:t>
      </w:r>
      <w:proofErr w:type="gramStart"/>
      <w:r w:rsidRPr="002B30D8">
        <w:rPr>
          <w:rFonts w:ascii="Arial" w:hAnsi="Arial" w:cs="Arial"/>
          <w:color w:val="002060"/>
        </w:rPr>
        <w:t>10 session</w:t>
      </w:r>
      <w:proofErr w:type="gramEnd"/>
      <w:r w:rsidRPr="002B30D8">
        <w:rPr>
          <w:rFonts w:ascii="Arial" w:hAnsi="Arial" w:cs="Arial"/>
          <w:color w:val="002060"/>
        </w:rPr>
        <w:t xml:space="preserve"> post.  Two SPA session is allocated for appraisal, job planning and professional development, equating to a split of 8:2 between direct clinical care PAs and supporting professional activities.  It is anticipated that this post will be a mix of acute and downstream medical duties and to participate in the delivery of outpatient rheumatology care, providing support to the Mineral </w:t>
      </w:r>
      <w:proofErr w:type="spellStart"/>
      <w:r w:rsidRPr="002B30D8">
        <w:rPr>
          <w:rFonts w:ascii="Arial" w:hAnsi="Arial" w:cs="Arial"/>
          <w:color w:val="002060"/>
        </w:rPr>
        <w:t>Metbolism</w:t>
      </w:r>
      <w:proofErr w:type="spellEnd"/>
      <w:r w:rsidRPr="002B30D8">
        <w:rPr>
          <w:rFonts w:ascii="Arial" w:hAnsi="Arial" w:cs="Arial"/>
          <w:color w:val="002060"/>
        </w:rPr>
        <w:t xml:space="preserve"> clinic, and DEXA reporting.  The final job plan will be agreed at or shortly after interview by agreement with the Clinical Director, General Manager and successful candidate reflecting the needs of the service. </w:t>
      </w:r>
    </w:p>
    <w:p w14:paraId="4D6C2C76" w14:textId="77777777" w:rsidR="002B30D8" w:rsidRPr="002B30D8" w:rsidRDefault="002B30D8" w:rsidP="002B30D8">
      <w:pPr>
        <w:rPr>
          <w:rFonts w:ascii="Arial" w:hAnsi="Arial" w:cs="Arial"/>
          <w:color w:val="002060"/>
        </w:rPr>
      </w:pPr>
    </w:p>
    <w:p w14:paraId="49F27652" w14:textId="77777777" w:rsidR="002B30D8" w:rsidRPr="002B30D8" w:rsidRDefault="002B30D8" w:rsidP="002B30D8">
      <w:pPr>
        <w:rPr>
          <w:rFonts w:ascii="Arial" w:hAnsi="Arial" w:cs="Arial"/>
          <w:color w:val="002060"/>
        </w:rPr>
      </w:pPr>
      <w:r w:rsidRPr="002B30D8">
        <w:rPr>
          <w:rFonts w:ascii="Arial" w:hAnsi="Arial" w:cs="Arial"/>
          <w:b/>
          <w:color w:val="002060"/>
        </w:rPr>
        <w:t>Provisional Timetable</w:t>
      </w:r>
    </w:p>
    <w:p w14:paraId="75B1FE41" w14:textId="77777777" w:rsidR="002B30D8" w:rsidRPr="002B30D8" w:rsidRDefault="002B30D8" w:rsidP="002B30D8">
      <w:pPr>
        <w:rPr>
          <w:rFonts w:ascii="Arial" w:hAnsi="Arial" w:cs="Arial"/>
          <w:color w:val="002060"/>
        </w:rPr>
      </w:pPr>
      <w:r w:rsidRPr="002B30D8">
        <w:rPr>
          <w:rFonts w:ascii="Arial" w:hAnsi="Arial" w:cs="Arial"/>
          <w:color w:val="002060"/>
        </w:rPr>
        <w:t>Job plan (illustrative)</w:t>
      </w:r>
    </w:p>
    <w:p w14:paraId="4873F4FB" w14:textId="77777777" w:rsidR="002B30D8" w:rsidRPr="002B30D8" w:rsidRDefault="002B30D8" w:rsidP="002B30D8">
      <w:pPr>
        <w:rPr>
          <w:rFonts w:ascii="Arial" w:hAnsi="Arial" w:cs="Arial"/>
          <w:color w:val="00206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949"/>
        <w:gridCol w:w="1276"/>
        <w:gridCol w:w="1418"/>
        <w:gridCol w:w="1021"/>
        <w:gridCol w:w="1254"/>
        <w:gridCol w:w="861"/>
        <w:gridCol w:w="889"/>
      </w:tblGrid>
      <w:tr w:rsidR="002B30D8" w:rsidRPr="002B30D8" w14:paraId="50024FAD" w14:textId="77777777" w:rsidTr="001F5A30">
        <w:tc>
          <w:tcPr>
            <w:tcW w:w="860" w:type="dxa"/>
            <w:shd w:val="clear" w:color="auto" w:fill="auto"/>
          </w:tcPr>
          <w:p w14:paraId="238A1448" w14:textId="77777777" w:rsidR="002B30D8" w:rsidRPr="002B30D8" w:rsidRDefault="002B30D8" w:rsidP="002B30D8">
            <w:pPr>
              <w:overflowPunct w:val="0"/>
              <w:autoSpaceDE w:val="0"/>
              <w:autoSpaceDN w:val="0"/>
              <w:adjustRightInd w:val="0"/>
              <w:textAlignment w:val="baseline"/>
              <w:rPr>
                <w:rFonts w:ascii="Arial" w:hAnsi="Arial" w:cs="Arial"/>
                <w:color w:val="002060"/>
              </w:rPr>
            </w:pPr>
          </w:p>
        </w:tc>
        <w:tc>
          <w:tcPr>
            <w:tcW w:w="949" w:type="dxa"/>
            <w:shd w:val="clear" w:color="auto" w:fill="auto"/>
          </w:tcPr>
          <w:p w14:paraId="0338D27F" w14:textId="77777777" w:rsidR="002B30D8" w:rsidRPr="002B30D8" w:rsidRDefault="002B30D8" w:rsidP="002B30D8">
            <w:pPr>
              <w:overflowPunct w:val="0"/>
              <w:autoSpaceDE w:val="0"/>
              <w:autoSpaceDN w:val="0"/>
              <w:adjustRightInd w:val="0"/>
              <w:textAlignment w:val="baseline"/>
              <w:rPr>
                <w:rFonts w:ascii="Arial" w:hAnsi="Arial" w:cs="Arial"/>
                <w:color w:val="002060"/>
              </w:rPr>
            </w:pPr>
            <w:r w:rsidRPr="002B30D8">
              <w:rPr>
                <w:rFonts w:ascii="Arial" w:hAnsi="Arial" w:cs="Arial"/>
                <w:color w:val="002060"/>
              </w:rPr>
              <w:t>Mon</w:t>
            </w:r>
          </w:p>
        </w:tc>
        <w:tc>
          <w:tcPr>
            <w:tcW w:w="1276" w:type="dxa"/>
            <w:shd w:val="clear" w:color="auto" w:fill="auto"/>
          </w:tcPr>
          <w:p w14:paraId="35EFF86D" w14:textId="77777777" w:rsidR="002B30D8" w:rsidRPr="002B30D8" w:rsidRDefault="002B30D8" w:rsidP="002B30D8">
            <w:pPr>
              <w:overflowPunct w:val="0"/>
              <w:autoSpaceDE w:val="0"/>
              <w:autoSpaceDN w:val="0"/>
              <w:adjustRightInd w:val="0"/>
              <w:textAlignment w:val="baseline"/>
              <w:rPr>
                <w:rFonts w:ascii="Arial" w:hAnsi="Arial" w:cs="Arial"/>
                <w:color w:val="002060"/>
              </w:rPr>
            </w:pPr>
            <w:r w:rsidRPr="002B30D8">
              <w:rPr>
                <w:rFonts w:ascii="Arial" w:hAnsi="Arial" w:cs="Arial"/>
                <w:color w:val="002060"/>
              </w:rPr>
              <w:t>Tue</w:t>
            </w:r>
          </w:p>
        </w:tc>
        <w:tc>
          <w:tcPr>
            <w:tcW w:w="1418" w:type="dxa"/>
            <w:shd w:val="clear" w:color="auto" w:fill="auto"/>
          </w:tcPr>
          <w:p w14:paraId="521A4078" w14:textId="77777777" w:rsidR="002B30D8" w:rsidRPr="002B30D8" w:rsidRDefault="002B30D8" w:rsidP="002B30D8">
            <w:pPr>
              <w:overflowPunct w:val="0"/>
              <w:autoSpaceDE w:val="0"/>
              <w:autoSpaceDN w:val="0"/>
              <w:adjustRightInd w:val="0"/>
              <w:textAlignment w:val="baseline"/>
              <w:rPr>
                <w:rFonts w:ascii="Arial" w:hAnsi="Arial" w:cs="Arial"/>
                <w:color w:val="002060"/>
              </w:rPr>
            </w:pPr>
            <w:r w:rsidRPr="002B30D8">
              <w:rPr>
                <w:rFonts w:ascii="Arial" w:hAnsi="Arial" w:cs="Arial"/>
                <w:color w:val="002060"/>
              </w:rPr>
              <w:t>Wed</w:t>
            </w:r>
          </w:p>
        </w:tc>
        <w:tc>
          <w:tcPr>
            <w:tcW w:w="1021" w:type="dxa"/>
            <w:shd w:val="clear" w:color="auto" w:fill="auto"/>
          </w:tcPr>
          <w:p w14:paraId="54282864" w14:textId="77777777" w:rsidR="002B30D8" w:rsidRPr="002B30D8" w:rsidRDefault="002B30D8" w:rsidP="002B30D8">
            <w:pPr>
              <w:overflowPunct w:val="0"/>
              <w:autoSpaceDE w:val="0"/>
              <w:autoSpaceDN w:val="0"/>
              <w:adjustRightInd w:val="0"/>
              <w:textAlignment w:val="baseline"/>
              <w:rPr>
                <w:rFonts w:ascii="Arial" w:hAnsi="Arial" w:cs="Arial"/>
                <w:color w:val="002060"/>
              </w:rPr>
            </w:pPr>
            <w:r w:rsidRPr="002B30D8">
              <w:rPr>
                <w:rFonts w:ascii="Arial" w:hAnsi="Arial" w:cs="Arial"/>
                <w:color w:val="002060"/>
              </w:rPr>
              <w:t>Thu</w:t>
            </w:r>
          </w:p>
        </w:tc>
        <w:tc>
          <w:tcPr>
            <w:tcW w:w="1254" w:type="dxa"/>
            <w:shd w:val="clear" w:color="auto" w:fill="auto"/>
          </w:tcPr>
          <w:p w14:paraId="23A25447" w14:textId="77777777" w:rsidR="002B30D8" w:rsidRPr="002B30D8" w:rsidRDefault="002B30D8" w:rsidP="002B30D8">
            <w:pPr>
              <w:overflowPunct w:val="0"/>
              <w:autoSpaceDE w:val="0"/>
              <w:autoSpaceDN w:val="0"/>
              <w:adjustRightInd w:val="0"/>
              <w:textAlignment w:val="baseline"/>
              <w:rPr>
                <w:rFonts w:ascii="Arial" w:hAnsi="Arial" w:cs="Arial"/>
                <w:color w:val="002060"/>
              </w:rPr>
            </w:pPr>
            <w:r w:rsidRPr="002B30D8">
              <w:rPr>
                <w:rFonts w:ascii="Arial" w:hAnsi="Arial" w:cs="Arial"/>
                <w:color w:val="002060"/>
              </w:rPr>
              <w:t>Fri</w:t>
            </w:r>
          </w:p>
        </w:tc>
        <w:tc>
          <w:tcPr>
            <w:tcW w:w="861" w:type="dxa"/>
            <w:shd w:val="clear" w:color="auto" w:fill="BFBFBF"/>
          </w:tcPr>
          <w:p w14:paraId="2587FA5E" w14:textId="77777777" w:rsidR="002B30D8" w:rsidRPr="002B30D8" w:rsidRDefault="002B30D8" w:rsidP="002B30D8">
            <w:pPr>
              <w:overflowPunct w:val="0"/>
              <w:autoSpaceDE w:val="0"/>
              <w:autoSpaceDN w:val="0"/>
              <w:adjustRightInd w:val="0"/>
              <w:textAlignment w:val="baseline"/>
              <w:rPr>
                <w:rFonts w:ascii="Arial" w:hAnsi="Arial" w:cs="Arial"/>
                <w:color w:val="002060"/>
              </w:rPr>
            </w:pPr>
            <w:r w:rsidRPr="002B30D8">
              <w:rPr>
                <w:rFonts w:ascii="Arial" w:hAnsi="Arial" w:cs="Arial"/>
                <w:color w:val="002060"/>
              </w:rPr>
              <w:t>Sat</w:t>
            </w:r>
          </w:p>
        </w:tc>
        <w:tc>
          <w:tcPr>
            <w:tcW w:w="889" w:type="dxa"/>
            <w:shd w:val="clear" w:color="auto" w:fill="BFBFBF"/>
          </w:tcPr>
          <w:p w14:paraId="6C9CA211" w14:textId="77777777" w:rsidR="002B30D8" w:rsidRPr="002B30D8" w:rsidRDefault="002B30D8" w:rsidP="002B30D8">
            <w:pPr>
              <w:overflowPunct w:val="0"/>
              <w:autoSpaceDE w:val="0"/>
              <w:autoSpaceDN w:val="0"/>
              <w:adjustRightInd w:val="0"/>
              <w:textAlignment w:val="baseline"/>
              <w:rPr>
                <w:rFonts w:ascii="Arial" w:hAnsi="Arial" w:cs="Arial"/>
                <w:color w:val="002060"/>
              </w:rPr>
            </w:pPr>
            <w:r w:rsidRPr="002B30D8">
              <w:rPr>
                <w:rFonts w:ascii="Arial" w:hAnsi="Arial" w:cs="Arial"/>
                <w:color w:val="002060"/>
              </w:rPr>
              <w:t>Sun</w:t>
            </w:r>
          </w:p>
        </w:tc>
      </w:tr>
      <w:tr w:rsidR="002B30D8" w:rsidRPr="002B30D8" w14:paraId="02D7E5FE" w14:textId="77777777" w:rsidTr="001F5A30">
        <w:tc>
          <w:tcPr>
            <w:tcW w:w="860" w:type="dxa"/>
            <w:shd w:val="clear" w:color="auto" w:fill="auto"/>
          </w:tcPr>
          <w:p w14:paraId="03B7701A" w14:textId="77777777" w:rsidR="002B30D8" w:rsidRPr="002B30D8" w:rsidRDefault="002B30D8" w:rsidP="002B30D8">
            <w:pPr>
              <w:overflowPunct w:val="0"/>
              <w:autoSpaceDE w:val="0"/>
              <w:autoSpaceDN w:val="0"/>
              <w:adjustRightInd w:val="0"/>
              <w:textAlignment w:val="baseline"/>
              <w:rPr>
                <w:rFonts w:ascii="Arial" w:hAnsi="Arial" w:cs="Arial"/>
                <w:color w:val="002060"/>
              </w:rPr>
            </w:pPr>
            <w:r w:rsidRPr="002B30D8">
              <w:rPr>
                <w:rFonts w:ascii="Arial" w:hAnsi="Arial" w:cs="Arial"/>
                <w:color w:val="002060"/>
              </w:rPr>
              <w:t>Am</w:t>
            </w:r>
          </w:p>
        </w:tc>
        <w:tc>
          <w:tcPr>
            <w:tcW w:w="949" w:type="dxa"/>
            <w:shd w:val="clear" w:color="auto" w:fill="auto"/>
          </w:tcPr>
          <w:p w14:paraId="2F54372A"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r w:rsidRPr="002B30D8">
              <w:rPr>
                <w:rFonts w:ascii="Arial" w:hAnsi="Arial" w:cs="Arial"/>
                <w:color w:val="002060"/>
                <w:sz w:val="20"/>
                <w:szCs w:val="20"/>
              </w:rPr>
              <w:t>Ward Round</w:t>
            </w:r>
          </w:p>
        </w:tc>
        <w:tc>
          <w:tcPr>
            <w:tcW w:w="1276" w:type="dxa"/>
            <w:shd w:val="clear" w:color="auto" w:fill="auto"/>
          </w:tcPr>
          <w:p w14:paraId="4CD5160E"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r w:rsidRPr="002B30D8">
              <w:rPr>
                <w:rFonts w:ascii="Arial" w:hAnsi="Arial" w:cs="Arial"/>
                <w:color w:val="002060"/>
                <w:sz w:val="20"/>
                <w:szCs w:val="20"/>
              </w:rPr>
              <w:t>Off</w:t>
            </w:r>
          </w:p>
        </w:tc>
        <w:tc>
          <w:tcPr>
            <w:tcW w:w="1418" w:type="dxa"/>
            <w:shd w:val="clear" w:color="auto" w:fill="auto"/>
          </w:tcPr>
          <w:p w14:paraId="25BC0216"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r w:rsidRPr="002B30D8">
              <w:rPr>
                <w:rFonts w:ascii="Arial" w:hAnsi="Arial" w:cs="Arial"/>
                <w:color w:val="002060"/>
                <w:sz w:val="20"/>
                <w:szCs w:val="20"/>
              </w:rPr>
              <w:t>DEXA reporting</w:t>
            </w:r>
          </w:p>
        </w:tc>
        <w:tc>
          <w:tcPr>
            <w:tcW w:w="1021" w:type="dxa"/>
            <w:shd w:val="clear" w:color="auto" w:fill="auto"/>
          </w:tcPr>
          <w:p w14:paraId="38A8C828"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r w:rsidRPr="002B30D8">
              <w:rPr>
                <w:rFonts w:ascii="Arial" w:hAnsi="Arial" w:cs="Arial"/>
                <w:color w:val="002060"/>
                <w:sz w:val="20"/>
                <w:szCs w:val="20"/>
              </w:rPr>
              <w:t>Ward Round</w:t>
            </w:r>
          </w:p>
        </w:tc>
        <w:tc>
          <w:tcPr>
            <w:tcW w:w="1254" w:type="dxa"/>
            <w:shd w:val="clear" w:color="auto" w:fill="auto"/>
          </w:tcPr>
          <w:p w14:paraId="3E1368EB"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r w:rsidRPr="002B30D8">
              <w:rPr>
                <w:rFonts w:ascii="Arial" w:hAnsi="Arial" w:cs="Arial"/>
                <w:color w:val="002060"/>
                <w:sz w:val="20"/>
                <w:szCs w:val="20"/>
              </w:rPr>
              <w:t>SPA Departmental meeting</w:t>
            </w:r>
          </w:p>
        </w:tc>
        <w:tc>
          <w:tcPr>
            <w:tcW w:w="861" w:type="dxa"/>
            <w:shd w:val="clear" w:color="auto" w:fill="BFBFBF"/>
          </w:tcPr>
          <w:p w14:paraId="09ACD6AB"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r w:rsidRPr="002B30D8">
              <w:rPr>
                <w:rFonts w:ascii="Arial" w:hAnsi="Arial" w:cs="Arial"/>
                <w:color w:val="002060"/>
                <w:sz w:val="20"/>
                <w:szCs w:val="20"/>
              </w:rPr>
              <w:t>On call rota</w:t>
            </w:r>
          </w:p>
        </w:tc>
        <w:tc>
          <w:tcPr>
            <w:tcW w:w="889" w:type="dxa"/>
            <w:shd w:val="clear" w:color="auto" w:fill="BFBFBF"/>
          </w:tcPr>
          <w:p w14:paraId="46B402B0"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r w:rsidRPr="002B30D8">
              <w:rPr>
                <w:rFonts w:ascii="Arial" w:hAnsi="Arial" w:cs="Arial"/>
                <w:color w:val="002060"/>
                <w:sz w:val="20"/>
                <w:szCs w:val="20"/>
              </w:rPr>
              <w:t>On call rota</w:t>
            </w:r>
          </w:p>
        </w:tc>
      </w:tr>
      <w:tr w:rsidR="002B30D8" w:rsidRPr="002B30D8" w14:paraId="35861A70" w14:textId="77777777" w:rsidTr="001F5A30">
        <w:tc>
          <w:tcPr>
            <w:tcW w:w="860" w:type="dxa"/>
            <w:shd w:val="clear" w:color="auto" w:fill="auto"/>
          </w:tcPr>
          <w:p w14:paraId="2F9F02C3" w14:textId="77777777" w:rsidR="002B30D8" w:rsidRPr="002B30D8" w:rsidRDefault="002B30D8" w:rsidP="002B30D8">
            <w:pPr>
              <w:overflowPunct w:val="0"/>
              <w:autoSpaceDE w:val="0"/>
              <w:autoSpaceDN w:val="0"/>
              <w:adjustRightInd w:val="0"/>
              <w:textAlignment w:val="baseline"/>
              <w:rPr>
                <w:rFonts w:ascii="Arial" w:hAnsi="Arial" w:cs="Arial"/>
                <w:color w:val="002060"/>
              </w:rPr>
            </w:pPr>
          </w:p>
        </w:tc>
        <w:tc>
          <w:tcPr>
            <w:tcW w:w="949" w:type="dxa"/>
            <w:shd w:val="clear" w:color="auto" w:fill="auto"/>
          </w:tcPr>
          <w:p w14:paraId="0239C33F"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p>
        </w:tc>
        <w:tc>
          <w:tcPr>
            <w:tcW w:w="1276" w:type="dxa"/>
            <w:shd w:val="clear" w:color="auto" w:fill="auto"/>
          </w:tcPr>
          <w:p w14:paraId="7D03E82D"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p>
        </w:tc>
        <w:tc>
          <w:tcPr>
            <w:tcW w:w="1418" w:type="dxa"/>
            <w:shd w:val="clear" w:color="auto" w:fill="auto"/>
          </w:tcPr>
          <w:p w14:paraId="19EF1192"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p>
        </w:tc>
        <w:tc>
          <w:tcPr>
            <w:tcW w:w="1021" w:type="dxa"/>
            <w:shd w:val="clear" w:color="auto" w:fill="auto"/>
          </w:tcPr>
          <w:p w14:paraId="0381C4F7"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p>
        </w:tc>
        <w:tc>
          <w:tcPr>
            <w:tcW w:w="1254" w:type="dxa"/>
            <w:shd w:val="clear" w:color="auto" w:fill="auto"/>
          </w:tcPr>
          <w:p w14:paraId="246DF0AE"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p>
        </w:tc>
        <w:tc>
          <w:tcPr>
            <w:tcW w:w="861" w:type="dxa"/>
            <w:shd w:val="clear" w:color="auto" w:fill="BFBFBF"/>
          </w:tcPr>
          <w:p w14:paraId="28B6F87D"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p>
        </w:tc>
        <w:tc>
          <w:tcPr>
            <w:tcW w:w="889" w:type="dxa"/>
            <w:shd w:val="clear" w:color="auto" w:fill="BFBFBF"/>
          </w:tcPr>
          <w:p w14:paraId="0E678C82"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p>
        </w:tc>
      </w:tr>
      <w:tr w:rsidR="002B30D8" w:rsidRPr="002B30D8" w14:paraId="5D0AEA8E" w14:textId="77777777" w:rsidTr="001F5A30">
        <w:tc>
          <w:tcPr>
            <w:tcW w:w="860" w:type="dxa"/>
            <w:shd w:val="clear" w:color="auto" w:fill="auto"/>
          </w:tcPr>
          <w:p w14:paraId="74B111E7" w14:textId="77777777" w:rsidR="002B30D8" w:rsidRPr="002B30D8" w:rsidRDefault="002B30D8" w:rsidP="002B30D8">
            <w:pPr>
              <w:overflowPunct w:val="0"/>
              <w:autoSpaceDE w:val="0"/>
              <w:autoSpaceDN w:val="0"/>
              <w:adjustRightInd w:val="0"/>
              <w:textAlignment w:val="baseline"/>
              <w:rPr>
                <w:rFonts w:ascii="Arial" w:hAnsi="Arial" w:cs="Arial"/>
                <w:color w:val="002060"/>
              </w:rPr>
            </w:pPr>
            <w:r w:rsidRPr="002B30D8">
              <w:rPr>
                <w:rFonts w:ascii="Arial" w:hAnsi="Arial" w:cs="Arial"/>
                <w:color w:val="002060"/>
              </w:rPr>
              <w:t>PM</w:t>
            </w:r>
          </w:p>
        </w:tc>
        <w:tc>
          <w:tcPr>
            <w:tcW w:w="949" w:type="dxa"/>
            <w:shd w:val="clear" w:color="auto" w:fill="auto"/>
          </w:tcPr>
          <w:p w14:paraId="4808B53E"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r w:rsidRPr="002B30D8">
              <w:rPr>
                <w:rFonts w:ascii="Arial" w:hAnsi="Arial" w:cs="Arial"/>
                <w:color w:val="002060"/>
                <w:sz w:val="20"/>
                <w:szCs w:val="20"/>
              </w:rPr>
              <w:t>Return OPC</w:t>
            </w:r>
          </w:p>
        </w:tc>
        <w:tc>
          <w:tcPr>
            <w:tcW w:w="1276" w:type="dxa"/>
            <w:shd w:val="clear" w:color="auto" w:fill="auto"/>
          </w:tcPr>
          <w:p w14:paraId="111DDBC6"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r w:rsidRPr="002B30D8">
              <w:rPr>
                <w:rFonts w:ascii="Arial" w:hAnsi="Arial" w:cs="Arial"/>
                <w:color w:val="002060"/>
                <w:sz w:val="20"/>
                <w:szCs w:val="20"/>
              </w:rPr>
              <w:t>Off</w:t>
            </w:r>
          </w:p>
        </w:tc>
        <w:tc>
          <w:tcPr>
            <w:tcW w:w="1418" w:type="dxa"/>
            <w:shd w:val="clear" w:color="auto" w:fill="auto"/>
          </w:tcPr>
          <w:p w14:paraId="41850303"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proofErr w:type="spellStart"/>
            <w:r w:rsidRPr="002B30D8">
              <w:rPr>
                <w:rFonts w:ascii="Arial" w:hAnsi="Arial" w:cs="Arial"/>
                <w:color w:val="002060"/>
                <w:sz w:val="20"/>
                <w:szCs w:val="20"/>
              </w:rPr>
              <w:t>Minmet</w:t>
            </w:r>
            <w:proofErr w:type="spellEnd"/>
            <w:r w:rsidRPr="002B30D8">
              <w:rPr>
                <w:rFonts w:ascii="Arial" w:hAnsi="Arial" w:cs="Arial"/>
                <w:color w:val="002060"/>
                <w:sz w:val="20"/>
                <w:szCs w:val="20"/>
              </w:rPr>
              <w:t xml:space="preserve"> Clinic</w:t>
            </w:r>
          </w:p>
        </w:tc>
        <w:tc>
          <w:tcPr>
            <w:tcW w:w="1021" w:type="dxa"/>
            <w:shd w:val="clear" w:color="auto" w:fill="auto"/>
          </w:tcPr>
          <w:p w14:paraId="26D159E4"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r w:rsidRPr="002B30D8">
              <w:rPr>
                <w:rFonts w:ascii="Arial" w:hAnsi="Arial" w:cs="Arial"/>
                <w:color w:val="002060"/>
                <w:sz w:val="20"/>
                <w:szCs w:val="20"/>
              </w:rPr>
              <w:t>New OPC</w:t>
            </w:r>
          </w:p>
        </w:tc>
        <w:tc>
          <w:tcPr>
            <w:tcW w:w="1254" w:type="dxa"/>
            <w:shd w:val="clear" w:color="auto" w:fill="auto"/>
          </w:tcPr>
          <w:p w14:paraId="48724476"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r w:rsidRPr="002B30D8">
              <w:rPr>
                <w:rFonts w:ascii="Arial" w:hAnsi="Arial" w:cs="Arial"/>
                <w:color w:val="002060"/>
                <w:sz w:val="20"/>
                <w:szCs w:val="20"/>
              </w:rPr>
              <w:t>SPA/ Admin</w:t>
            </w:r>
          </w:p>
        </w:tc>
        <w:tc>
          <w:tcPr>
            <w:tcW w:w="861" w:type="dxa"/>
            <w:shd w:val="clear" w:color="auto" w:fill="BFBFBF"/>
          </w:tcPr>
          <w:p w14:paraId="62B94B64"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r w:rsidRPr="002B30D8">
              <w:rPr>
                <w:rFonts w:ascii="Arial" w:hAnsi="Arial" w:cs="Arial"/>
                <w:color w:val="002060"/>
                <w:sz w:val="20"/>
                <w:szCs w:val="20"/>
              </w:rPr>
              <w:t>On call rota</w:t>
            </w:r>
          </w:p>
        </w:tc>
        <w:tc>
          <w:tcPr>
            <w:tcW w:w="889" w:type="dxa"/>
            <w:shd w:val="clear" w:color="auto" w:fill="BFBFBF"/>
          </w:tcPr>
          <w:p w14:paraId="798E2413" w14:textId="77777777" w:rsidR="002B30D8" w:rsidRPr="002B30D8" w:rsidRDefault="002B30D8" w:rsidP="002B30D8">
            <w:pPr>
              <w:overflowPunct w:val="0"/>
              <w:autoSpaceDE w:val="0"/>
              <w:autoSpaceDN w:val="0"/>
              <w:adjustRightInd w:val="0"/>
              <w:textAlignment w:val="baseline"/>
              <w:rPr>
                <w:rFonts w:ascii="Arial" w:hAnsi="Arial" w:cs="Arial"/>
                <w:color w:val="002060"/>
                <w:sz w:val="20"/>
                <w:szCs w:val="20"/>
              </w:rPr>
            </w:pPr>
            <w:r w:rsidRPr="002B30D8">
              <w:rPr>
                <w:rFonts w:ascii="Arial" w:hAnsi="Arial" w:cs="Arial"/>
                <w:color w:val="002060"/>
                <w:sz w:val="20"/>
                <w:szCs w:val="20"/>
              </w:rPr>
              <w:t>On call rota</w:t>
            </w:r>
          </w:p>
        </w:tc>
      </w:tr>
    </w:tbl>
    <w:p w14:paraId="06D53AF5" w14:textId="77777777" w:rsidR="002B30D8" w:rsidRPr="002B30D8" w:rsidRDefault="002B30D8" w:rsidP="002B30D8">
      <w:pPr>
        <w:rPr>
          <w:rFonts w:ascii="Arial" w:hAnsi="Arial" w:cs="Arial"/>
          <w:b/>
          <w:bCs/>
          <w:color w:val="002060"/>
        </w:rPr>
      </w:pPr>
    </w:p>
    <w:p w14:paraId="3D4375A9" w14:textId="77777777" w:rsidR="002B30D8" w:rsidRPr="002B30D8" w:rsidRDefault="002B30D8" w:rsidP="002B30D8">
      <w:pPr>
        <w:rPr>
          <w:rFonts w:ascii="Arial" w:hAnsi="Arial" w:cs="Arial"/>
          <w:color w:val="002060"/>
        </w:rPr>
      </w:pPr>
    </w:p>
    <w:p w14:paraId="6005B81F" w14:textId="77777777" w:rsidR="002B30D8" w:rsidRPr="002B30D8" w:rsidRDefault="002B30D8" w:rsidP="002B30D8">
      <w:pPr>
        <w:rPr>
          <w:rFonts w:ascii="Arial" w:hAnsi="Arial" w:cs="Arial"/>
          <w:color w:val="002060"/>
        </w:rPr>
      </w:pPr>
      <w:r w:rsidRPr="002B30D8">
        <w:rPr>
          <w:rFonts w:ascii="Arial" w:hAnsi="Arial" w:cs="Arial"/>
          <w:color w:val="002060"/>
        </w:rPr>
        <w:t>The successful candidate will be expected to provide a full range of consultant services as agreed with senior management and colleagues including in-patient management of patients admitted to the wards.  The appointee will contribute to acute medical receiving, the consultant on-call rota, downstream ward cover at the weekends and in the provision of additional   seasonal in-patient capacity.  The pattern and frequency of these duties will be finalised following appointment to the post.</w:t>
      </w:r>
    </w:p>
    <w:p w14:paraId="56757466" w14:textId="77777777" w:rsidR="002B30D8" w:rsidRPr="002B30D8" w:rsidRDefault="002B30D8" w:rsidP="002B30D8">
      <w:pPr>
        <w:rPr>
          <w:rFonts w:ascii="Arial" w:hAnsi="Arial" w:cs="Arial"/>
          <w:color w:val="002060"/>
        </w:rPr>
      </w:pPr>
    </w:p>
    <w:p w14:paraId="72FF3F8C" w14:textId="77777777" w:rsidR="002B30D8" w:rsidRPr="002B30D8" w:rsidRDefault="002B30D8" w:rsidP="002B30D8">
      <w:pPr>
        <w:rPr>
          <w:rFonts w:ascii="Arial" w:hAnsi="Arial" w:cs="Arial"/>
          <w:color w:val="002060"/>
        </w:rPr>
      </w:pPr>
      <w:r w:rsidRPr="002B30D8">
        <w:rPr>
          <w:rFonts w:ascii="Arial" w:hAnsi="Arial" w:cs="Arial"/>
          <w:color w:val="002060"/>
        </w:rPr>
        <w:t>It is envisaged that outpatient work will be undertaken at Glasgow Royal Infirmary and Stobhill ACH.  This will usually consist of three clinics/week, plus a session for DEXA reporting.</w:t>
      </w:r>
    </w:p>
    <w:p w14:paraId="4535DD8A" w14:textId="77777777" w:rsidR="002B30D8" w:rsidRPr="002B30D8" w:rsidRDefault="002B30D8" w:rsidP="002B30D8">
      <w:pPr>
        <w:rPr>
          <w:rFonts w:ascii="Arial" w:hAnsi="Arial"/>
          <w:b/>
          <w:color w:val="002060"/>
        </w:rPr>
      </w:pPr>
    </w:p>
    <w:p w14:paraId="3E80BE64" w14:textId="77777777" w:rsidR="002B30D8" w:rsidRPr="002B30D8" w:rsidRDefault="002B30D8" w:rsidP="002B30D8">
      <w:pPr>
        <w:rPr>
          <w:rFonts w:ascii="Arial" w:hAnsi="Arial"/>
          <w:b/>
          <w:color w:val="002060"/>
        </w:rPr>
      </w:pPr>
      <w:r w:rsidRPr="002B30D8">
        <w:rPr>
          <w:rFonts w:ascii="Arial" w:hAnsi="Arial"/>
          <w:b/>
          <w:color w:val="002060"/>
        </w:rPr>
        <w:t>Consultant Responsibilities</w:t>
      </w:r>
    </w:p>
    <w:p w14:paraId="6C14D233" w14:textId="77777777" w:rsidR="002B30D8" w:rsidRPr="002B30D8" w:rsidRDefault="002B30D8" w:rsidP="002B30D8">
      <w:pPr>
        <w:rPr>
          <w:rFonts w:ascii="Arial" w:hAnsi="Arial"/>
          <w:color w:val="002060"/>
        </w:rPr>
      </w:pPr>
    </w:p>
    <w:p w14:paraId="75D0E07E" w14:textId="77777777" w:rsidR="002B30D8" w:rsidRPr="002B30D8" w:rsidRDefault="002B30D8" w:rsidP="002B30D8">
      <w:pPr>
        <w:numPr>
          <w:ilvl w:val="0"/>
          <w:numId w:val="35"/>
        </w:numPr>
        <w:ind w:left="0"/>
        <w:rPr>
          <w:rFonts w:ascii="Arial" w:hAnsi="Arial"/>
          <w:color w:val="002060"/>
        </w:rPr>
      </w:pPr>
      <w:r w:rsidRPr="002B30D8">
        <w:rPr>
          <w:rFonts w:ascii="Arial" w:hAnsi="Arial"/>
          <w:color w:val="002060"/>
        </w:rPr>
        <w:t xml:space="preserve">As agreed with the Clinical Director in Medical Specialties to provide (with consultant colleagues) a service in acute, rheumatology and mineral metabolism medicine with responsibility for the prevention, </w:t>
      </w:r>
      <w:proofErr w:type="gramStart"/>
      <w:r w:rsidRPr="002B30D8">
        <w:rPr>
          <w:rFonts w:ascii="Arial" w:hAnsi="Arial"/>
          <w:color w:val="002060"/>
        </w:rPr>
        <w:t>diagnosis</w:t>
      </w:r>
      <w:proofErr w:type="gramEnd"/>
      <w:r w:rsidRPr="002B30D8">
        <w:rPr>
          <w:rFonts w:ascii="Arial" w:hAnsi="Arial"/>
          <w:color w:val="002060"/>
        </w:rPr>
        <w:t xml:space="preserve"> and management of illness and for the proper functioning of the service.  The individual would be expected to continue develop skills relevant to these areas and to contribute to undergraduate teaching.</w:t>
      </w:r>
    </w:p>
    <w:p w14:paraId="69412640" w14:textId="77777777" w:rsidR="002B30D8" w:rsidRPr="002B30D8" w:rsidRDefault="002B30D8" w:rsidP="002B30D8">
      <w:pPr>
        <w:numPr>
          <w:ilvl w:val="0"/>
          <w:numId w:val="35"/>
        </w:numPr>
        <w:ind w:left="0"/>
        <w:rPr>
          <w:rFonts w:ascii="Arial" w:hAnsi="Arial"/>
          <w:color w:val="002060"/>
        </w:rPr>
      </w:pPr>
      <w:r w:rsidRPr="002B30D8">
        <w:rPr>
          <w:rFonts w:ascii="Arial" w:hAnsi="Arial"/>
          <w:color w:val="002060"/>
        </w:rPr>
        <w:t>To provide cover for consultant colleagues during annual and study leave or at such other times as agreed with the Clinical Director.</w:t>
      </w:r>
    </w:p>
    <w:p w14:paraId="0365556C" w14:textId="77777777" w:rsidR="002B30D8" w:rsidRPr="002B30D8" w:rsidRDefault="002B30D8" w:rsidP="002B30D8">
      <w:pPr>
        <w:numPr>
          <w:ilvl w:val="0"/>
          <w:numId w:val="35"/>
        </w:numPr>
        <w:ind w:left="0"/>
        <w:rPr>
          <w:rFonts w:ascii="Arial" w:hAnsi="Arial"/>
          <w:color w:val="002060"/>
        </w:rPr>
      </w:pPr>
      <w:r w:rsidRPr="002B30D8">
        <w:rPr>
          <w:rFonts w:ascii="Arial" w:hAnsi="Arial"/>
          <w:color w:val="002060"/>
        </w:rPr>
        <w:t>To motivate staff within the service through leading by example and fostering good working relationships at all levels in line with the principles of the local Partnership Agreements.</w:t>
      </w:r>
    </w:p>
    <w:p w14:paraId="618AC07D" w14:textId="77777777" w:rsidR="002B30D8" w:rsidRPr="002B30D8" w:rsidRDefault="002B30D8" w:rsidP="002B30D8">
      <w:pPr>
        <w:numPr>
          <w:ilvl w:val="0"/>
          <w:numId w:val="35"/>
        </w:numPr>
        <w:ind w:left="0"/>
        <w:rPr>
          <w:rFonts w:ascii="Arial" w:hAnsi="Arial"/>
          <w:color w:val="002060"/>
        </w:rPr>
      </w:pPr>
      <w:r w:rsidRPr="002B30D8">
        <w:rPr>
          <w:rFonts w:ascii="Arial" w:hAnsi="Arial"/>
          <w:color w:val="002060"/>
        </w:rPr>
        <w:lastRenderedPageBreak/>
        <w:t>To participate fully in consultant appraisal and personal development planning activities.</w:t>
      </w:r>
    </w:p>
    <w:p w14:paraId="2307545A" w14:textId="77777777" w:rsidR="002B30D8" w:rsidRPr="002B30D8" w:rsidRDefault="002B30D8" w:rsidP="002B30D8">
      <w:pPr>
        <w:numPr>
          <w:ilvl w:val="0"/>
          <w:numId w:val="35"/>
        </w:numPr>
        <w:ind w:left="0"/>
        <w:rPr>
          <w:rFonts w:ascii="Arial" w:hAnsi="Arial"/>
          <w:color w:val="002060"/>
        </w:rPr>
      </w:pPr>
      <w:r w:rsidRPr="002B30D8">
        <w:rPr>
          <w:rFonts w:ascii="Arial" w:hAnsi="Arial"/>
          <w:color w:val="002060"/>
        </w:rPr>
        <w:t>To ensure the efficient and effective use of Acute Services resources.</w:t>
      </w:r>
    </w:p>
    <w:p w14:paraId="6B3BCB79" w14:textId="77777777" w:rsidR="002B30D8" w:rsidRPr="002B30D8" w:rsidRDefault="002B30D8" w:rsidP="002B30D8">
      <w:pPr>
        <w:numPr>
          <w:ilvl w:val="0"/>
          <w:numId w:val="36"/>
        </w:numPr>
        <w:tabs>
          <w:tab w:val="num" w:pos="360"/>
        </w:tabs>
        <w:ind w:left="0"/>
        <w:rPr>
          <w:rFonts w:ascii="Arial" w:hAnsi="Arial"/>
          <w:color w:val="002060"/>
        </w:rPr>
      </w:pPr>
      <w:r w:rsidRPr="002B30D8">
        <w:rPr>
          <w:rFonts w:ascii="Arial" w:hAnsi="Arial"/>
          <w:color w:val="002060"/>
        </w:rPr>
        <w:t xml:space="preserve">To participate in the delivery of agreed national and local performance indicators e.g.  Health, Economic Access Targets (HEAT).   </w:t>
      </w:r>
    </w:p>
    <w:p w14:paraId="6FF9C56F" w14:textId="77777777" w:rsidR="002B30D8" w:rsidRPr="002B30D8" w:rsidRDefault="002B30D8" w:rsidP="002B30D8">
      <w:pPr>
        <w:numPr>
          <w:ilvl w:val="0"/>
          <w:numId w:val="36"/>
        </w:numPr>
        <w:tabs>
          <w:tab w:val="num" w:pos="360"/>
        </w:tabs>
        <w:ind w:left="0"/>
        <w:rPr>
          <w:rFonts w:ascii="Arial" w:hAnsi="Arial"/>
          <w:color w:val="002060"/>
        </w:rPr>
      </w:pPr>
      <w:r w:rsidRPr="002B30D8">
        <w:rPr>
          <w:rFonts w:ascii="Arial" w:hAnsi="Arial"/>
          <w:color w:val="002060"/>
        </w:rPr>
        <w:t xml:space="preserve">To participate in the Health Board and the Acute Division’s Clinical Governance framework and policies. </w:t>
      </w:r>
    </w:p>
    <w:p w14:paraId="5C18237E" w14:textId="77777777" w:rsidR="002B30D8" w:rsidRPr="002B30D8" w:rsidRDefault="002B30D8" w:rsidP="002B30D8">
      <w:pPr>
        <w:tabs>
          <w:tab w:val="num" w:pos="360"/>
        </w:tabs>
        <w:rPr>
          <w:rFonts w:ascii="Arial" w:hAnsi="Arial" w:cs="Arial"/>
          <w:color w:val="002060"/>
        </w:rPr>
      </w:pPr>
    </w:p>
    <w:p w14:paraId="25166F78" w14:textId="77777777" w:rsidR="002B30D8" w:rsidRPr="002B30D8" w:rsidRDefault="002B30D8" w:rsidP="002B30D8">
      <w:pPr>
        <w:rPr>
          <w:rFonts w:ascii="Arial" w:hAnsi="Arial" w:cs="Arial"/>
          <w:b/>
          <w:bCs/>
          <w:color w:val="002060"/>
        </w:rPr>
      </w:pPr>
      <w:r w:rsidRPr="002B30D8">
        <w:rPr>
          <w:rFonts w:ascii="Arial" w:hAnsi="Arial" w:cs="Arial"/>
          <w:b/>
          <w:bCs/>
          <w:color w:val="002060"/>
        </w:rPr>
        <w:t xml:space="preserve">Management Arrangements </w:t>
      </w:r>
    </w:p>
    <w:p w14:paraId="68BF0823" w14:textId="77777777" w:rsidR="002B30D8" w:rsidRPr="002B30D8" w:rsidRDefault="002B30D8" w:rsidP="002B30D8">
      <w:pPr>
        <w:rPr>
          <w:rFonts w:ascii="Arial" w:hAnsi="Arial" w:cs="Arial"/>
          <w:b/>
          <w:bCs/>
          <w:color w:val="002060"/>
        </w:rPr>
      </w:pPr>
    </w:p>
    <w:p w14:paraId="03A813BD" w14:textId="77777777" w:rsidR="002B30D8" w:rsidRPr="002B30D8" w:rsidRDefault="002B30D8" w:rsidP="002B30D8">
      <w:pPr>
        <w:rPr>
          <w:rFonts w:ascii="Arial" w:hAnsi="Arial" w:cs="Arial"/>
          <w:color w:val="002060"/>
        </w:rPr>
      </w:pPr>
      <w:r w:rsidRPr="002B30D8">
        <w:rPr>
          <w:rFonts w:ascii="Arial" w:hAnsi="Arial" w:cs="Arial"/>
          <w:color w:val="002060"/>
        </w:rPr>
        <w:t xml:space="preserve">General (Internal) Medicine and Acute Medicine are part of the North Sector, NHS Greater </w:t>
      </w:r>
      <w:proofErr w:type="gramStart"/>
      <w:r w:rsidRPr="002B30D8">
        <w:rPr>
          <w:rFonts w:ascii="Arial" w:hAnsi="Arial" w:cs="Arial"/>
          <w:color w:val="002060"/>
        </w:rPr>
        <w:t>Glasgow</w:t>
      </w:r>
      <w:proofErr w:type="gramEnd"/>
      <w:r w:rsidRPr="002B30D8">
        <w:rPr>
          <w:rFonts w:ascii="Arial" w:hAnsi="Arial" w:cs="Arial"/>
          <w:color w:val="002060"/>
        </w:rPr>
        <w:t xml:space="preserve"> and Clyde.  Mr Neil McCallum is the Sector Director and is supported by Ms Mary Brown, Chief of Medicine, and Mr John Carson, Chief Nurse. </w:t>
      </w:r>
    </w:p>
    <w:p w14:paraId="6209F826" w14:textId="77777777" w:rsidR="002B30D8" w:rsidRPr="002B30D8" w:rsidRDefault="002B30D8" w:rsidP="002B30D8">
      <w:pPr>
        <w:rPr>
          <w:rFonts w:ascii="Arial" w:hAnsi="Arial" w:cs="Arial"/>
          <w:color w:val="002060"/>
        </w:rPr>
      </w:pPr>
    </w:p>
    <w:p w14:paraId="3381B660" w14:textId="77777777" w:rsidR="002B30D8" w:rsidRPr="002B30D8" w:rsidRDefault="002B30D8" w:rsidP="002B30D8">
      <w:pPr>
        <w:rPr>
          <w:rFonts w:ascii="Arial" w:hAnsi="Arial" w:cs="Arial"/>
          <w:color w:val="002060"/>
        </w:rPr>
      </w:pPr>
      <w:r w:rsidRPr="002B30D8">
        <w:rPr>
          <w:rFonts w:ascii="Arial" w:hAnsi="Arial" w:cs="Arial"/>
          <w:color w:val="002060"/>
        </w:rPr>
        <w:t xml:space="preserve">At Glasgow Royal Infirmary the Deputy Chief of Medicine is Mr Paul Jenkins.  Service Management responsibility for Medicine at Glasgow Royal Infirmary and Stobhill Hospital is held by Mrs Rebecca Reid, General Manager, with Ms Rosemary Brogan as Clinical Service Manager.  Nursing leadership is provided by Lead Nurses within all specialty areas.  </w:t>
      </w:r>
    </w:p>
    <w:p w14:paraId="123E6249" w14:textId="77777777" w:rsidR="002B30D8" w:rsidRPr="002B30D8" w:rsidRDefault="002B30D8" w:rsidP="002B30D8">
      <w:pPr>
        <w:ind w:left="-709" w:right="-1056"/>
        <w:jc w:val="both"/>
        <w:rPr>
          <w:rFonts w:ascii="Arial" w:hAnsi="Arial" w:cs="Arial"/>
          <w:b/>
          <w:color w:val="002060"/>
        </w:rPr>
      </w:pPr>
    </w:p>
    <w:p w14:paraId="65E20C9F" w14:textId="77777777" w:rsidR="002B30D8" w:rsidRPr="002B30D8" w:rsidRDefault="002B30D8" w:rsidP="008A52ED">
      <w:pPr>
        <w:rPr>
          <w:rFonts w:ascii="Arial" w:hAnsi="Arial" w:cs="Arial"/>
          <w:b/>
          <w:bCs/>
          <w:color w:val="002060"/>
          <w:sz w:val="32"/>
          <w:szCs w:val="32"/>
        </w:rPr>
      </w:pPr>
    </w:p>
    <w:p w14:paraId="4DCFCA1A" w14:textId="77777777" w:rsidR="00294E61" w:rsidRPr="002B30D8" w:rsidRDefault="00294E61" w:rsidP="008A52ED">
      <w:pPr>
        <w:rPr>
          <w:rFonts w:ascii="Arial" w:hAnsi="Arial" w:cs="Arial"/>
          <w:b/>
          <w:bCs/>
          <w:color w:val="002060"/>
          <w:sz w:val="32"/>
          <w:szCs w:val="32"/>
        </w:rPr>
      </w:pPr>
    </w:p>
    <w:p w14:paraId="3789136C" w14:textId="77777777" w:rsidR="00294E61" w:rsidRPr="002B30D8" w:rsidRDefault="00294E61" w:rsidP="008A52ED">
      <w:pPr>
        <w:rPr>
          <w:rFonts w:ascii="Arial" w:hAnsi="Arial" w:cs="Arial"/>
          <w:b/>
          <w:bCs/>
          <w:color w:val="002060"/>
          <w:sz w:val="32"/>
          <w:szCs w:val="32"/>
        </w:rPr>
      </w:pPr>
    </w:p>
    <w:p w14:paraId="20BAF71E" w14:textId="77777777" w:rsidR="00294E61" w:rsidRPr="002B30D8" w:rsidRDefault="00294E61" w:rsidP="008A52ED">
      <w:pPr>
        <w:rPr>
          <w:rFonts w:ascii="Arial" w:hAnsi="Arial" w:cs="Arial"/>
          <w:b/>
          <w:bCs/>
          <w:color w:val="002060"/>
          <w:sz w:val="32"/>
          <w:szCs w:val="32"/>
        </w:rPr>
      </w:pPr>
    </w:p>
    <w:p w14:paraId="3FA70E6B" w14:textId="77777777" w:rsidR="00294E61" w:rsidRPr="002B30D8" w:rsidRDefault="00294E61" w:rsidP="008A52ED">
      <w:pPr>
        <w:rPr>
          <w:rFonts w:ascii="Arial" w:hAnsi="Arial" w:cs="Arial"/>
          <w:b/>
          <w:bCs/>
          <w:color w:val="002060"/>
          <w:sz w:val="32"/>
          <w:szCs w:val="32"/>
        </w:rPr>
      </w:pPr>
    </w:p>
    <w:p w14:paraId="06E0F485" w14:textId="77777777" w:rsidR="00294E61" w:rsidRPr="002B30D8" w:rsidRDefault="00294E61" w:rsidP="008A52ED">
      <w:pPr>
        <w:rPr>
          <w:rFonts w:ascii="Arial" w:hAnsi="Arial" w:cs="Arial"/>
          <w:b/>
          <w:bCs/>
          <w:color w:val="002060"/>
          <w:sz w:val="32"/>
          <w:szCs w:val="32"/>
        </w:rPr>
      </w:pPr>
    </w:p>
    <w:p w14:paraId="4116B447" w14:textId="77777777" w:rsidR="002B30D8" w:rsidRPr="002B30D8" w:rsidRDefault="002B30D8" w:rsidP="008A52ED">
      <w:pPr>
        <w:rPr>
          <w:rFonts w:ascii="Arial" w:hAnsi="Arial" w:cs="Arial"/>
          <w:b/>
          <w:bCs/>
          <w:color w:val="002060"/>
          <w:sz w:val="32"/>
          <w:szCs w:val="32"/>
        </w:rPr>
      </w:pPr>
    </w:p>
    <w:p w14:paraId="18ADD8A1" w14:textId="77777777" w:rsidR="002B30D8" w:rsidRPr="002B30D8" w:rsidRDefault="002B30D8" w:rsidP="008A52ED">
      <w:pPr>
        <w:rPr>
          <w:rFonts w:ascii="Arial" w:hAnsi="Arial" w:cs="Arial"/>
          <w:b/>
          <w:bCs/>
          <w:color w:val="002060"/>
          <w:sz w:val="32"/>
          <w:szCs w:val="32"/>
        </w:rPr>
      </w:pPr>
    </w:p>
    <w:p w14:paraId="531CAEE6" w14:textId="77777777" w:rsidR="002B30D8" w:rsidRPr="002B30D8" w:rsidRDefault="002B30D8" w:rsidP="008A52ED">
      <w:pPr>
        <w:rPr>
          <w:rFonts w:ascii="Arial" w:hAnsi="Arial" w:cs="Arial"/>
          <w:b/>
          <w:bCs/>
          <w:color w:val="002060"/>
          <w:sz w:val="32"/>
          <w:szCs w:val="32"/>
        </w:rPr>
      </w:pPr>
    </w:p>
    <w:p w14:paraId="405B8A3A" w14:textId="77777777" w:rsidR="002B30D8" w:rsidRPr="002B30D8" w:rsidRDefault="002B30D8" w:rsidP="008A52ED">
      <w:pPr>
        <w:rPr>
          <w:rFonts w:ascii="Arial" w:hAnsi="Arial" w:cs="Arial"/>
          <w:b/>
          <w:bCs/>
          <w:color w:val="002060"/>
          <w:sz w:val="32"/>
          <w:szCs w:val="32"/>
        </w:rPr>
      </w:pPr>
    </w:p>
    <w:p w14:paraId="3751778B" w14:textId="77777777" w:rsidR="002B30D8" w:rsidRPr="002B30D8" w:rsidRDefault="002B30D8" w:rsidP="008A52ED">
      <w:pPr>
        <w:rPr>
          <w:rFonts w:ascii="Arial" w:hAnsi="Arial" w:cs="Arial"/>
          <w:b/>
          <w:bCs/>
          <w:color w:val="002060"/>
          <w:sz w:val="32"/>
          <w:szCs w:val="32"/>
        </w:rPr>
      </w:pPr>
    </w:p>
    <w:p w14:paraId="4F35855E" w14:textId="77777777" w:rsidR="002B30D8" w:rsidRPr="002B30D8" w:rsidRDefault="002B30D8" w:rsidP="008A52ED">
      <w:pPr>
        <w:rPr>
          <w:rFonts w:ascii="Arial" w:hAnsi="Arial" w:cs="Arial"/>
          <w:b/>
          <w:bCs/>
          <w:color w:val="002060"/>
          <w:sz w:val="32"/>
          <w:szCs w:val="32"/>
        </w:rPr>
      </w:pPr>
    </w:p>
    <w:p w14:paraId="6324B626" w14:textId="77777777" w:rsidR="002B30D8" w:rsidRPr="002B30D8" w:rsidRDefault="002B30D8" w:rsidP="008A52ED">
      <w:pPr>
        <w:rPr>
          <w:rFonts w:ascii="Arial" w:hAnsi="Arial" w:cs="Arial"/>
          <w:b/>
          <w:bCs/>
          <w:color w:val="002060"/>
          <w:sz w:val="32"/>
          <w:szCs w:val="32"/>
        </w:rPr>
      </w:pPr>
    </w:p>
    <w:p w14:paraId="7072510E" w14:textId="77777777" w:rsidR="002B30D8" w:rsidRPr="002B30D8" w:rsidRDefault="002B30D8" w:rsidP="008A52ED">
      <w:pPr>
        <w:rPr>
          <w:rFonts w:ascii="Arial" w:hAnsi="Arial" w:cs="Arial"/>
          <w:b/>
          <w:bCs/>
          <w:color w:val="002060"/>
          <w:sz w:val="32"/>
          <w:szCs w:val="32"/>
        </w:rPr>
      </w:pPr>
    </w:p>
    <w:p w14:paraId="4A90E55F" w14:textId="77777777" w:rsidR="002B30D8" w:rsidRPr="002B30D8" w:rsidRDefault="002B30D8" w:rsidP="008A52ED">
      <w:pPr>
        <w:rPr>
          <w:rFonts w:ascii="Arial" w:hAnsi="Arial" w:cs="Arial"/>
          <w:b/>
          <w:bCs/>
          <w:color w:val="002060"/>
          <w:sz w:val="32"/>
          <w:szCs w:val="32"/>
        </w:rPr>
      </w:pPr>
    </w:p>
    <w:p w14:paraId="5B713DB1" w14:textId="77777777" w:rsidR="002B30D8" w:rsidRPr="002B30D8" w:rsidRDefault="002B30D8" w:rsidP="008A52ED">
      <w:pPr>
        <w:rPr>
          <w:rFonts w:ascii="Arial" w:hAnsi="Arial" w:cs="Arial"/>
          <w:b/>
          <w:bCs/>
          <w:color w:val="002060"/>
          <w:sz w:val="32"/>
          <w:szCs w:val="32"/>
        </w:rPr>
      </w:pPr>
    </w:p>
    <w:p w14:paraId="3991FBC0" w14:textId="77777777" w:rsidR="002B30D8" w:rsidRPr="002B30D8" w:rsidRDefault="002B30D8" w:rsidP="008A52ED">
      <w:pPr>
        <w:rPr>
          <w:rFonts w:ascii="Arial" w:hAnsi="Arial" w:cs="Arial"/>
          <w:b/>
          <w:bCs/>
          <w:color w:val="002060"/>
          <w:sz w:val="32"/>
          <w:szCs w:val="32"/>
        </w:rPr>
      </w:pPr>
    </w:p>
    <w:p w14:paraId="65B8094D" w14:textId="77777777" w:rsidR="002B30D8" w:rsidRPr="002B30D8" w:rsidRDefault="002B30D8" w:rsidP="008A52ED">
      <w:pPr>
        <w:rPr>
          <w:rFonts w:ascii="Arial" w:hAnsi="Arial" w:cs="Arial"/>
          <w:b/>
          <w:bCs/>
          <w:color w:val="002060"/>
          <w:sz w:val="32"/>
          <w:szCs w:val="32"/>
        </w:rPr>
      </w:pPr>
    </w:p>
    <w:p w14:paraId="08815B56" w14:textId="77777777" w:rsidR="002B30D8" w:rsidRPr="002B30D8" w:rsidRDefault="002B30D8" w:rsidP="008A52ED">
      <w:pPr>
        <w:rPr>
          <w:rFonts w:ascii="Arial" w:hAnsi="Arial" w:cs="Arial"/>
          <w:b/>
          <w:bCs/>
          <w:color w:val="002060"/>
          <w:sz w:val="32"/>
          <w:szCs w:val="32"/>
        </w:rPr>
      </w:pPr>
    </w:p>
    <w:p w14:paraId="7F113707" w14:textId="5385895C" w:rsidR="008502BD" w:rsidRPr="002B30D8" w:rsidRDefault="00312CB8" w:rsidP="008A52ED">
      <w:pPr>
        <w:rPr>
          <w:rFonts w:ascii="Arial" w:hAnsi="Arial" w:cs="Arial"/>
          <w:color w:val="002060"/>
        </w:rPr>
      </w:pPr>
      <w:r w:rsidRPr="002B30D8">
        <w:rPr>
          <w:rFonts w:ascii="Arial" w:hAnsi="Arial" w:cs="Arial"/>
          <w:b/>
          <w:bCs/>
          <w:color w:val="002060"/>
          <w:sz w:val="32"/>
          <w:szCs w:val="32"/>
        </w:rPr>
        <w:t xml:space="preserve">Section </w:t>
      </w:r>
      <w:r w:rsidR="002B30D8" w:rsidRPr="002B30D8">
        <w:rPr>
          <w:rFonts w:ascii="Arial" w:hAnsi="Arial" w:cs="Arial"/>
          <w:b/>
          <w:bCs/>
          <w:color w:val="002060"/>
          <w:sz w:val="32"/>
          <w:szCs w:val="32"/>
        </w:rPr>
        <w:t>3</w:t>
      </w:r>
      <w:r w:rsidR="009241F2" w:rsidRPr="002B30D8">
        <w:rPr>
          <w:rFonts w:ascii="Arial" w:hAnsi="Arial" w:cs="Arial"/>
          <w:b/>
          <w:bCs/>
          <w:color w:val="002060"/>
          <w:sz w:val="32"/>
          <w:szCs w:val="32"/>
        </w:rPr>
        <w:t>:</w:t>
      </w:r>
      <w:r w:rsidR="008502BD" w:rsidRPr="002B30D8">
        <w:rPr>
          <w:rFonts w:ascii="Arial" w:hAnsi="Arial" w:cs="Arial"/>
          <w:b/>
          <w:bCs/>
          <w:color w:val="002060"/>
          <w:sz w:val="32"/>
          <w:szCs w:val="32"/>
        </w:rPr>
        <w:tab/>
      </w:r>
      <w:r w:rsidR="008502BD" w:rsidRPr="002B30D8">
        <w:rPr>
          <w:rFonts w:ascii="Arial" w:hAnsi="Arial" w:cs="Arial"/>
          <w:b/>
          <w:bCs/>
          <w:color w:val="002060"/>
          <w:sz w:val="32"/>
          <w:szCs w:val="32"/>
        </w:rPr>
        <w:tab/>
      </w:r>
    </w:p>
    <w:p w14:paraId="7A5A4F2D" w14:textId="77777777" w:rsidR="008502BD" w:rsidRPr="002B30D8" w:rsidRDefault="008502BD" w:rsidP="00067415">
      <w:pPr>
        <w:jc w:val="both"/>
        <w:rPr>
          <w:b/>
          <w:color w:val="002060"/>
          <w:sz w:val="22"/>
          <w:szCs w:val="22"/>
        </w:rPr>
      </w:pPr>
    </w:p>
    <w:p w14:paraId="759C6290" w14:textId="77777777" w:rsidR="008502BD" w:rsidRPr="002B30D8" w:rsidRDefault="008502BD" w:rsidP="00067415">
      <w:pPr>
        <w:jc w:val="both"/>
        <w:rPr>
          <w:rFonts w:ascii="Arial" w:hAnsi="Arial" w:cs="Arial"/>
          <w:color w:val="002060"/>
        </w:rPr>
      </w:pPr>
      <w:r w:rsidRPr="002B30D8">
        <w:rPr>
          <w:rFonts w:ascii="Arial" w:hAnsi="Arial" w:cs="Arial"/>
          <w:b/>
          <w:color w:val="002060"/>
        </w:rPr>
        <w:t>Regulatory Body:  General Medical Council &amp; General Dental Council:</w:t>
      </w:r>
      <w:r w:rsidRPr="002B30D8">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w:t>
      </w:r>
      <w:r w:rsidRPr="002B30D8">
        <w:rPr>
          <w:rFonts w:ascii="Arial" w:hAnsi="Arial" w:cs="Arial"/>
          <w:color w:val="002060"/>
        </w:rPr>
        <w:lastRenderedPageBreak/>
        <w:t xml:space="preserve">removing members when necessary. It also sets the standards for medical schools in the UK. </w:t>
      </w:r>
    </w:p>
    <w:p w14:paraId="0B7E19D7" w14:textId="77777777" w:rsidR="008502BD" w:rsidRPr="002B30D8" w:rsidRDefault="008502BD" w:rsidP="00067415">
      <w:pPr>
        <w:jc w:val="both"/>
        <w:rPr>
          <w:rFonts w:ascii="Arial" w:hAnsi="Arial" w:cs="Arial"/>
          <w:color w:val="002060"/>
        </w:rPr>
      </w:pPr>
    </w:p>
    <w:p w14:paraId="7FB1F364" w14:textId="77777777" w:rsidR="008502BD" w:rsidRPr="002B30D8" w:rsidRDefault="008502BD" w:rsidP="00067415">
      <w:pPr>
        <w:jc w:val="both"/>
        <w:rPr>
          <w:color w:val="002060"/>
          <w:sz w:val="22"/>
          <w:szCs w:val="22"/>
        </w:rPr>
      </w:pPr>
      <w:r w:rsidRPr="002B30D8">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2B30D8">
          <w:rPr>
            <w:rStyle w:val="Hyperlink"/>
            <w:rFonts w:ascii="Arial" w:hAnsi="Arial" w:cs="Arial"/>
            <w:b/>
            <w:color w:val="002060"/>
          </w:rPr>
          <w:t>https://careers.nhs.scot/careers/find-your-career/international-recruitment/regulatory-bodies</w:t>
        </w:r>
      </w:hyperlink>
    </w:p>
    <w:p w14:paraId="68D33C8F" w14:textId="77777777" w:rsidR="008502BD" w:rsidRPr="002B30D8" w:rsidRDefault="008502BD" w:rsidP="00067415">
      <w:pPr>
        <w:jc w:val="both"/>
        <w:rPr>
          <w:color w:val="002060"/>
          <w:sz w:val="22"/>
          <w:szCs w:val="22"/>
        </w:rPr>
      </w:pPr>
    </w:p>
    <w:p w14:paraId="0AC73642" w14:textId="77777777" w:rsidR="008502BD" w:rsidRPr="002B30D8" w:rsidRDefault="008502BD" w:rsidP="00067415">
      <w:pPr>
        <w:jc w:val="both"/>
        <w:rPr>
          <w:rFonts w:ascii="Arial" w:hAnsi="Arial" w:cs="Arial"/>
          <w:color w:val="002060"/>
        </w:rPr>
      </w:pPr>
      <w:r w:rsidRPr="002B30D8">
        <w:rPr>
          <w:rFonts w:ascii="Arial" w:hAnsi="Arial" w:cs="Arial"/>
          <w:color w:val="002060"/>
        </w:rPr>
        <w:t xml:space="preserve">For medical consultant posts the post holder on commencement of the post </w:t>
      </w:r>
      <w:proofErr w:type="gramStart"/>
      <w:r w:rsidRPr="002B30D8">
        <w:rPr>
          <w:rFonts w:ascii="Arial" w:hAnsi="Arial" w:cs="Arial"/>
          <w:color w:val="002060"/>
        </w:rPr>
        <w:t>must  have</w:t>
      </w:r>
      <w:proofErr w:type="gramEnd"/>
      <w:r w:rsidRPr="002B30D8">
        <w:rPr>
          <w:rFonts w:ascii="Arial" w:hAnsi="Arial" w:cs="Arial"/>
          <w:color w:val="002060"/>
        </w:rPr>
        <w:t xml:space="preser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2B30D8">
        <w:rPr>
          <w:rFonts w:ascii="Roboto" w:hAnsi="Roboto" w:cs="Arial"/>
          <w:color w:val="002060"/>
        </w:rPr>
        <w:t xml:space="preserve"> </w:t>
      </w:r>
      <w:r w:rsidRPr="002B30D8">
        <w:rPr>
          <w:rFonts w:ascii="Arial" w:hAnsi="Arial" w:cs="Arial"/>
          <w:color w:val="002060"/>
        </w:rPr>
        <w:t>(CCT) or be within 6 months of confirmed entry from the date of interview. Non UK applicants must demonstrate equivalent training.</w:t>
      </w:r>
    </w:p>
    <w:p w14:paraId="17794291" w14:textId="77777777" w:rsidR="008502BD" w:rsidRPr="002B30D8" w:rsidRDefault="008502BD" w:rsidP="00067415">
      <w:pPr>
        <w:jc w:val="both"/>
        <w:rPr>
          <w:rFonts w:ascii="Arial" w:hAnsi="Arial" w:cs="Arial"/>
          <w:color w:val="002060"/>
        </w:rPr>
      </w:pPr>
    </w:p>
    <w:p w14:paraId="21FB7E2F" w14:textId="77777777" w:rsidR="008502BD" w:rsidRPr="002B30D8" w:rsidRDefault="008502BD" w:rsidP="00067415">
      <w:pPr>
        <w:jc w:val="both"/>
        <w:rPr>
          <w:rFonts w:ascii="Arial" w:hAnsi="Arial" w:cs="Arial"/>
          <w:color w:val="002060"/>
        </w:rPr>
      </w:pPr>
      <w:r w:rsidRPr="002B30D8">
        <w:rPr>
          <w:rFonts w:ascii="Arial" w:hAnsi="Arial" w:cs="Arial"/>
          <w:color w:val="002060"/>
        </w:rPr>
        <w:t>If you are unsure of your eligibility to join the Specialty Register then find out more at:-</w:t>
      </w:r>
    </w:p>
    <w:p w14:paraId="48248BD1" w14:textId="77777777" w:rsidR="008502BD" w:rsidRPr="002B30D8" w:rsidRDefault="008502BD" w:rsidP="00067415">
      <w:pPr>
        <w:jc w:val="both"/>
        <w:rPr>
          <w:rFonts w:ascii="Arial" w:hAnsi="Arial" w:cs="Arial"/>
          <w:color w:val="002060"/>
        </w:rPr>
      </w:pPr>
    </w:p>
    <w:p w14:paraId="3D14BA5A" w14:textId="77777777" w:rsidR="008502BD" w:rsidRPr="002B30D8" w:rsidRDefault="00000000" w:rsidP="00067415">
      <w:pPr>
        <w:jc w:val="both"/>
        <w:rPr>
          <w:rFonts w:ascii="Arial" w:hAnsi="Arial" w:cs="Arial"/>
          <w:b/>
          <w:color w:val="002060"/>
        </w:rPr>
      </w:pPr>
      <w:hyperlink r:id="rId27" w:history="1">
        <w:r w:rsidR="008502BD" w:rsidRPr="002B30D8">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2B30D8" w:rsidRDefault="008502BD" w:rsidP="00067415">
      <w:pPr>
        <w:jc w:val="both"/>
        <w:rPr>
          <w:rFonts w:ascii="Arial" w:hAnsi="Arial" w:cs="Arial"/>
          <w:color w:val="002060"/>
        </w:rPr>
      </w:pPr>
    </w:p>
    <w:p w14:paraId="62935E05" w14:textId="77777777" w:rsidR="008502BD" w:rsidRPr="002B30D8" w:rsidRDefault="008502BD" w:rsidP="00067415">
      <w:pPr>
        <w:jc w:val="both"/>
        <w:rPr>
          <w:rFonts w:ascii="Arial" w:hAnsi="Arial" w:cs="Arial"/>
          <w:color w:val="002060"/>
        </w:rPr>
      </w:pPr>
    </w:p>
    <w:p w14:paraId="4A8ADB9A" w14:textId="77777777" w:rsidR="008502BD" w:rsidRPr="002B30D8" w:rsidRDefault="008502BD" w:rsidP="00B95E11">
      <w:pPr>
        <w:rPr>
          <w:rFonts w:ascii="Arial" w:hAnsi="Arial" w:cs="Arial"/>
          <w:color w:val="002060"/>
        </w:rPr>
      </w:pPr>
      <w:r w:rsidRPr="002B30D8">
        <w:rPr>
          <w:rFonts w:ascii="Arial" w:hAnsi="Arial" w:cs="Arial"/>
          <w:color w:val="002060"/>
        </w:rPr>
        <w:t>Additional information for dental appointments</w:t>
      </w:r>
    </w:p>
    <w:p w14:paraId="4C179177" w14:textId="77777777" w:rsidR="008502BD" w:rsidRPr="002B30D8" w:rsidRDefault="008502BD" w:rsidP="00B95E11">
      <w:pPr>
        <w:rPr>
          <w:rFonts w:ascii="Arial" w:hAnsi="Arial" w:cs="Arial"/>
          <w:color w:val="002060"/>
        </w:rPr>
      </w:pPr>
    </w:p>
    <w:p w14:paraId="3F3458FF" w14:textId="77777777" w:rsidR="008502BD" w:rsidRPr="002B30D8" w:rsidRDefault="008502BD" w:rsidP="00B95E11">
      <w:pPr>
        <w:rPr>
          <w:rFonts w:ascii="Arial" w:hAnsi="Arial" w:cs="Arial"/>
          <w:color w:val="002060"/>
        </w:rPr>
      </w:pPr>
      <w:r w:rsidRPr="002B30D8">
        <w:rPr>
          <w:rFonts w:ascii="Arial" w:hAnsi="Arial" w:cs="Arial"/>
          <w:color w:val="002060"/>
        </w:rPr>
        <w:t xml:space="preserve">The GDC issues </w:t>
      </w:r>
      <w:r w:rsidRPr="002B30D8">
        <w:rPr>
          <w:rFonts w:ascii="Arial" w:hAnsi="Arial" w:cs="Arial"/>
          <w:b/>
          <w:bCs/>
          <w:color w:val="002060"/>
        </w:rPr>
        <w:t>Full Registration</w:t>
      </w:r>
      <w:r w:rsidRPr="002B30D8">
        <w:rPr>
          <w:rFonts w:ascii="Arial" w:hAnsi="Arial" w:cs="Arial"/>
          <w:color w:val="002060"/>
        </w:rPr>
        <w:t xml:space="preserve"> and </w:t>
      </w:r>
      <w:r w:rsidRPr="002B30D8">
        <w:rPr>
          <w:rFonts w:ascii="Arial" w:hAnsi="Arial" w:cs="Arial"/>
          <w:b/>
          <w:bCs/>
          <w:color w:val="002060"/>
        </w:rPr>
        <w:t>Temporary Registration</w:t>
      </w:r>
      <w:r w:rsidRPr="002B30D8">
        <w:rPr>
          <w:rFonts w:ascii="Arial" w:hAnsi="Arial" w:cs="Arial"/>
          <w:color w:val="002060"/>
        </w:rPr>
        <w:t>.</w:t>
      </w:r>
    </w:p>
    <w:p w14:paraId="56471583" w14:textId="77777777" w:rsidR="008502BD" w:rsidRPr="002B30D8" w:rsidRDefault="008502BD" w:rsidP="00B95E11">
      <w:pPr>
        <w:rPr>
          <w:rFonts w:ascii="Arial" w:hAnsi="Arial" w:cs="Arial"/>
          <w:color w:val="002060"/>
        </w:rPr>
      </w:pPr>
    </w:p>
    <w:p w14:paraId="00112B7E" w14:textId="77777777" w:rsidR="008502BD" w:rsidRPr="002B30D8" w:rsidRDefault="008502BD" w:rsidP="00B95E11">
      <w:pPr>
        <w:pStyle w:val="ListParagraph"/>
        <w:widowControl/>
        <w:numPr>
          <w:ilvl w:val="0"/>
          <w:numId w:val="16"/>
        </w:numPr>
        <w:autoSpaceDE/>
        <w:autoSpaceDN/>
        <w:adjustRightInd/>
        <w:rPr>
          <w:rFonts w:cs="Arial"/>
          <w:color w:val="002060"/>
        </w:rPr>
      </w:pPr>
      <w:r w:rsidRPr="002B30D8">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2B30D8" w:rsidRDefault="008502BD" w:rsidP="00B95E11">
      <w:pPr>
        <w:pStyle w:val="ListParagraph"/>
        <w:widowControl/>
        <w:numPr>
          <w:ilvl w:val="0"/>
          <w:numId w:val="16"/>
        </w:numPr>
        <w:autoSpaceDE/>
        <w:autoSpaceDN/>
        <w:adjustRightInd/>
        <w:rPr>
          <w:rFonts w:cs="Arial"/>
          <w:color w:val="002060"/>
        </w:rPr>
      </w:pPr>
      <w:r w:rsidRPr="002B30D8">
        <w:rPr>
          <w:rFonts w:cs="Arial"/>
          <w:color w:val="002060"/>
        </w:rPr>
        <w:t>Full registration allows a dentist to practice dentistry in the UK without restriction.</w:t>
      </w:r>
    </w:p>
    <w:p w14:paraId="769C3943" w14:textId="77777777" w:rsidR="008502BD" w:rsidRPr="002B30D8" w:rsidRDefault="008502BD" w:rsidP="00B95E11">
      <w:pPr>
        <w:rPr>
          <w:rFonts w:ascii="Arial" w:hAnsi="Arial" w:cs="Arial"/>
          <w:color w:val="002060"/>
        </w:rPr>
      </w:pPr>
    </w:p>
    <w:p w14:paraId="624DC024" w14:textId="77777777" w:rsidR="008502BD" w:rsidRPr="002B30D8" w:rsidRDefault="008502BD" w:rsidP="00B95E11">
      <w:pPr>
        <w:rPr>
          <w:rFonts w:ascii="Arial" w:hAnsi="Arial" w:cs="Arial"/>
          <w:b/>
          <w:bCs/>
          <w:color w:val="002060"/>
        </w:rPr>
      </w:pPr>
      <w:r w:rsidRPr="002B30D8">
        <w:rPr>
          <w:rFonts w:ascii="Arial" w:hAnsi="Arial" w:cs="Arial"/>
          <w:color w:val="002060"/>
        </w:rPr>
        <w:t xml:space="preserve">In addition to full registration, dentists can also </w:t>
      </w:r>
      <w:r w:rsidRPr="002B30D8">
        <w:rPr>
          <w:rFonts w:ascii="Arial" w:hAnsi="Arial" w:cs="Arial"/>
          <w:i/>
          <w:iCs/>
          <w:color w:val="002060"/>
          <w:u w:val="single"/>
        </w:rPr>
        <w:t>choose</w:t>
      </w:r>
      <w:r w:rsidRPr="002B30D8">
        <w:rPr>
          <w:rFonts w:ascii="Arial" w:hAnsi="Arial" w:cs="Arial"/>
          <w:color w:val="002060"/>
        </w:rPr>
        <w:t xml:space="preserve"> to be included on the </w:t>
      </w:r>
      <w:r w:rsidRPr="002B30D8">
        <w:rPr>
          <w:rFonts w:ascii="Arial" w:hAnsi="Arial" w:cs="Arial"/>
          <w:b/>
          <w:bCs/>
          <w:color w:val="002060"/>
        </w:rPr>
        <w:t>Specialist List.</w:t>
      </w:r>
    </w:p>
    <w:p w14:paraId="5BD10835" w14:textId="77777777" w:rsidR="008502BD" w:rsidRPr="002B30D8" w:rsidRDefault="008502BD" w:rsidP="00B95E11">
      <w:pPr>
        <w:rPr>
          <w:rFonts w:ascii="Arial" w:hAnsi="Arial" w:cs="Arial"/>
          <w:color w:val="002060"/>
        </w:rPr>
      </w:pPr>
    </w:p>
    <w:p w14:paraId="7D34BF01" w14:textId="77777777" w:rsidR="008502BD" w:rsidRPr="002B30D8" w:rsidRDefault="008502BD" w:rsidP="00067415">
      <w:pPr>
        <w:pStyle w:val="ListParagraph"/>
        <w:widowControl/>
        <w:numPr>
          <w:ilvl w:val="0"/>
          <w:numId w:val="17"/>
        </w:numPr>
        <w:autoSpaceDE/>
        <w:autoSpaceDN/>
        <w:adjustRightInd/>
        <w:jc w:val="both"/>
        <w:rPr>
          <w:rFonts w:cs="Arial"/>
          <w:b/>
          <w:color w:val="002060"/>
        </w:rPr>
      </w:pPr>
      <w:r w:rsidRPr="002B30D8">
        <w:rPr>
          <w:rFonts w:cs="Arial"/>
          <w:color w:val="002060"/>
        </w:rPr>
        <w:t xml:space="preserve">The specialist lists are lists of registered dentists who meet certain conditions and are entitled to use a specialist title. They do not </w:t>
      </w:r>
      <w:r w:rsidRPr="002B30D8">
        <w:rPr>
          <w:rFonts w:cs="Arial"/>
          <w:i/>
          <w:iCs/>
          <w:color w:val="002060"/>
          <w:u w:val="single"/>
        </w:rPr>
        <w:t>have</w:t>
      </w:r>
      <w:r w:rsidRPr="002B30D8">
        <w:rPr>
          <w:rFonts w:cs="Arial"/>
          <w:color w:val="002060"/>
        </w:rPr>
        <w:t xml:space="preserve"> to join a specialist list to practise any particular specialty, but they can only use the title 'specialist' if they are on the list. For more information on please visit</w:t>
      </w:r>
      <w:r w:rsidRPr="002B30D8">
        <w:rPr>
          <w:color w:val="002060"/>
        </w:rPr>
        <w:t xml:space="preserve">  </w:t>
      </w:r>
      <w:hyperlink r:id="rId28" w:history="1">
        <w:r w:rsidRPr="002B30D8">
          <w:rPr>
            <w:rStyle w:val="Hyperlink"/>
            <w:rFonts w:cs="Arial"/>
            <w:b/>
            <w:color w:val="002060"/>
          </w:rPr>
          <w:t>https://www.gdc-uk.org/</w:t>
        </w:r>
      </w:hyperlink>
    </w:p>
    <w:p w14:paraId="42066BFB" w14:textId="77777777" w:rsidR="00403410" w:rsidRPr="002B30D8" w:rsidRDefault="00403410" w:rsidP="00403410">
      <w:pPr>
        <w:spacing w:before="100" w:beforeAutospacing="1" w:after="100" w:afterAutospacing="1"/>
        <w:rPr>
          <w:rFonts w:ascii="Arial" w:hAnsi="Arial" w:cs="Arial"/>
          <w:b/>
          <w:bCs/>
          <w:i/>
          <w:iCs/>
          <w:color w:val="002060"/>
          <w:lang w:val="en"/>
        </w:rPr>
      </w:pPr>
      <w:r w:rsidRPr="002B30D8">
        <w:rPr>
          <w:rFonts w:ascii="Arial" w:hAnsi="Arial" w:cs="Arial"/>
          <w:b/>
          <w:bCs/>
          <w:i/>
          <w:iCs/>
          <w:color w:val="002060"/>
          <w:lang w:val="en"/>
        </w:rPr>
        <w:t xml:space="preserve">Right to work in the United Kingdom </w:t>
      </w:r>
    </w:p>
    <w:p w14:paraId="0B6954E7" w14:textId="77777777" w:rsidR="00403410" w:rsidRPr="002B30D8" w:rsidRDefault="00403410" w:rsidP="00403410">
      <w:pPr>
        <w:pStyle w:val="NormalWeb"/>
        <w:rPr>
          <w:rFonts w:ascii="Arial" w:hAnsi="Arial" w:cs="Arial"/>
          <w:i/>
          <w:iCs/>
          <w:color w:val="002060"/>
          <w:lang w:val="en"/>
        </w:rPr>
      </w:pPr>
      <w:r w:rsidRPr="002B30D8">
        <w:rPr>
          <w:rFonts w:ascii="Arial" w:hAnsi="Arial" w:cs="Arial"/>
          <w:i/>
          <w:iCs/>
          <w:color w:val="002060"/>
          <w:lang w:val="en"/>
        </w:rPr>
        <w:t>Anyone from outside of the United Kingdom (UK), excluding from the Republic of Ireland will need permission from </w:t>
      </w:r>
      <w:hyperlink w:tgtFrame="_blank" w:history="1">
        <w:r w:rsidRPr="002B30D8">
          <w:rPr>
            <w:rStyle w:val="Hyperlink"/>
            <w:rFonts w:ascii="Arial" w:hAnsi="Arial" w:cs="Arial"/>
            <w:i/>
            <w:iCs/>
            <w:color w:val="002060"/>
            <w:lang w:val="en"/>
          </w:rPr>
          <w:t>UK Visas and Immigration</w:t>
        </w:r>
      </w:hyperlink>
      <w:r w:rsidRPr="002B30D8">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2B30D8" w:rsidRDefault="00403410" w:rsidP="00403410">
      <w:pPr>
        <w:spacing w:before="240" w:after="240"/>
        <w:rPr>
          <w:rFonts w:ascii="Arial" w:hAnsi="Arial" w:cs="Arial"/>
          <w:i/>
          <w:iCs/>
          <w:color w:val="002060"/>
          <w:lang w:val="en"/>
        </w:rPr>
      </w:pPr>
      <w:r w:rsidRPr="002B30D8">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2B30D8" w:rsidRDefault="00403410" w:rsidP="00403410">
      <w:pPr>
        <w:numPr>
          <w:ilvl w:val="0"/>
          <w:numId w:val="34"/>
        </w:numPr>
        <w:spacing w:before="100" w:beforeAutospacing="1" w:after="100" w:afterAutospacing="1"/>
        <w:rPr>
          <w:rFonts w:ascii="Arial" w:hAnsi="Arial" w:cs="Arial"/>
          <w:i/>
          <w:iCs/>
          <w:color w:val="002060"/>
          <w:lang w:val="en"/>
        </w:rPr>
      </w:pPr>
      <w:r w:rsidRPr="002B30D8">
        <w:rPr>
          <w:rFonts w:ascii="Arial" w:hAnsi="Arial" w:cs="Arial"/>
          <w:i/>
          <w:iCs/>
          <w:color w:val="002060"/>
          <w:lang w:val="en"/>
        </w:rPr>
        <w:t>the points-based immigration system</w:t>
      </w:r>
    </w:p>
    <w:p w14:paraId="57E9E6AD" w14:textId="77777777" w:rsidR="00403410" w:rsidRPr="002B30D8" w:rsidRDefault="00403410" w:rsidP="00403410">
      <w:pPr>
        <w:numPr>
          <w:ilvl w:val="0"/>
          <w:numId w:val="34"/>
        </w:numPr>
        <w:spacing w:before="100" w:beforeAutospacing="1" w:after="100" w:afterAutospacing="1"/>
        <w:rPr>
          <w:rFonts w:ascii="Arial" w:hAnsi="Arial" w:cs="Arial"/>
          <w:i/>
          <w:iCs/>
          <w:color w:val="002060"/>
          <w:lang w:val="en"/>
        </w:rPr>
      </w:pPr>
      <w:r w:rsidRPr="002B30D8">
        <w:rPr>
          <w:rFonts w:ascii="Arial" w:hAnsi="Arial" w:cs="Arial"/>
          <w:i/>
          <w:iCs/>
          <w:color w:val="002060"/>
          <w:lang w:val="en"/>
        </w:rPr>
        <w:lastRenderedPageBreak/>
        <w:t>the EU settlement scheme</w:t>
      </w:r>
    </w:p>
    <w:p w14:paraId="43435510" w14:textId="77777777" w:rsidR="00403410" w:rsidRPr="002B30D8" w:rsidRDefault="00403410" w:rsidP="00403410">
      <w:pPr>
        <w:numPr>
          <w:ilvl w:val="0"/>
          <w:numId w:val="34"/>
        </w:numPr>
        <w:spacing w:before="100" w:beforeAutospacing="1" w:after="100" w:afterAutospacing="1"/>
        <w:rPr>
          <w:rFonts w:ascii="Arial" w:hAnsi="Arial" w:cs="Arial"/>
          <w:i/>
          <w:iCs/>
          <w:color w:val="002060"/>
          <w:lang w:val="en"/>
        </w:rPr>
      </w:pPr>
      <w:r w:rsidRPr="002B30D8">
        <w:rPr>
          <w:rFonts w:ascii="Arial" w:hAnsi="Arial" w:cs="Arial"/>
          <w:i/>
          <w:iCs/>
          <w:color w:val="002060"/>
          <w:lang w:val="en"/>
        </w:rPr>
        <w:t>a biometric residence permit</w:t>
      </w:r>
    </w:p>
    <w:p w14:paraId="092314F7" w14:textId="77777777" w:rsidR="00403410" w:rsidRPr="002B30D8" w:rsidRDefault="00403410" w:rsidP="00403410">
      <w:pPr>
        <w:rPr>
          <w:rFonts w:ascii="Arial" w:hAnsi="Arial" w:cs="Arial"/>
          <w:i/>
          <w:iCs/>
          <w:color w:val="002060"/>
          <w:lang w:val="en" w:eastAsia="en-US"/>
        </w:rPr>
      </w:pPr>
      <w:r w:rsidRPr="002B30D8">
        <w:rPr>
          <w:rFonts w:ascii="Arial" w:hAnsi="Arial" w:cs="Arial"/>
          <w:i/>
          <w:iCs/>
          <w:color w:val="002060"/>
          <w:lang w:val="en"/>
        </w:rPr>
        <w:t xml:space="preserve">A new </w:t>
      </w:r>
      <w:hyperlink w:tgtFrame="_blank" w:history="1">
        <w:r w:rsidRPr="002B30D8">
          <w:rPr>
            <w:rStyle w:val="Hyperlink"/>
            <w:rFonts w:ascii="Arial" w:hAnsi="Arial" w:cs="Arial"/>
            <w:i/>
            <w:iCs/>
            <w:color w:val="002060"/>
            <w:lang w:val="en"/>
          </w:rPr>
          <w:t>points-based immigration system</w:t>
        </w:r>
      </w:hyperlink>
      <w:r w:rsidRPr="002B30D8">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2B30D8">
          <w:rPr>
            <w:rStyle w:val="Hyperlink"/>
            <w:rFonts w:ascii="Arial" w:hAnsi="Arial" w:cs="Arial"/>
            <w:i/>
            <w:iCs/>
            <w:color w:val="002060"/>
            <w:lang w:val="en"/>
          </w:rPr>
          <w:t>EU settlement scheme</w:t>
        </w:r>
      </w:hyperlink>
      <w:r w:rsidRPr="002B30D8">
        <w:rPr>
          <w:rFonts w:ascii="Arial" w:hAnsi="Arial" w:cs="Arial"/>
          <w:i/>
          <w:iCs/>
          <w:color w:val="002060"/>
          <w:lang w:val="en"/>
        </w:rPr>
        <w:t>.</w:t>
      </w:r>
    </w:p>
    <w:p w14:paraId="21E80C84" w14:textId="77777777" w:rsidR="00403410" w:rsidRPr="002B30D8" w:rsidRDefault="00403410" w:rsidP="00403410">
      <w:pPr>
        <w:spacing w:before="240" w:after="240"/>
        <w:rPr>
          <w:rFonts w:ascii="Arial" w:hAnsi="Arial" w:cs="Arial"/>
          <w:i/>
          <w:iCs/>
          <w:color w:val="002060"/>
          <w:lang w:val="en"/>
        </w:rPr>
      </w:pPr>
      <w:r w:rsidRPr="002B30D8">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2B30D8">
          <w:rPr>
            <w:rStyle w:val="Hyperlink"/>
            <w:rFonts w:ascii="Arial" w:hAnsi="Arial" w:cs="Arial"/>
            <w:i/>
            <w:iCs/>
            <w:color w:val="002060"/>
            <w:lang w:val="en"/>
          </w:rPr>
          <w:t>skilled worker visa</w:t>
        </w:r>
      </w:hyperlink>
      <w:r w:rsidRPr="002B30D8">
        <w:rPr>
          <w:rFonts w:ascii="Arial" w:hAnsi="Arial" w:cs="Arial"/>
          <w:i/>
          <w:iCs/>
          <w:color w:val="002060"/>
          <w:lang w:val="en"/>
        </w:rPr>
        <w:t xml:space="preserve">.  A </w:t>
      </w:r>
      <w:hyperlink w:tgtFrame="_blank" w:history="1">
        <w:r w:rsidRPr="002B30D8">
          <w:rPr>
            <w:rStyle w:val="Hyperlink"/>
            <w:rFonts w:ascii="Arial" w:hAnsi="Arial" w:cs="Arial"/>
            <w:i/>
            <w:iCs/>
            <w:color w:val="002060"/>
            <w:lang w:val="en"/>
          </w:rPr>
          <w:t>Health and Care Worker visa</w:t>
        </w:r>
      </w:hyperlink>
      <w:r w:rsidRPr="002B30D8">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2B30D8" w:rsidRDefault="00403410" w:rsidP="00403410">
      <w:pPr>
        <w:spacing w:before="199" w:after="199"/>
        <w:rPr>
          <w:rFonts w:ascii="Arial" w:hAnsi="Arial" w:cs="Arial"/>
          <w:b/>
          <w:bCs/>
          <w:i/>
          <w:iCs/>
          <w:color w:val="002060"/>
          <w:lang w:val="en"/>
        </w:rPr>
      </w:pPr>
      <w:r w:rsidRPr="002B30D8">
        <w:rPr>
          <w:rFonts w:ascii="Arial" w:hAnsi="Arial" w:cs="Arial"/>
          <w:b/>
          <w:bCs/>
          <w:i/>
          <w:iCs/>
          <w:color w:val="002060"/>
          <w:lang w:val="en"/>
        </w:rPr>
        <w:t>EU settlement scheme</w:t>
      </w:r>
    </w:p>
    <w:p w14:paraId="3083773B" w14:textId="77777777" w:rsidR="00403410" w:rsidRPr="002B30D8" w:rsidRDefault="00403410" w:rsidP="00403410">
      <w:pPr>
        <w:spacing w:before="199" w:after="199"/>
        <w:rPr>
          <w:rFonts w:ascii="Arial" w:hAnsi="Arial" w:cs="Arial"/>
          <w:b/>
          <w:bCs/>
          <w:i/>
          <w:iCs/>
          <w:color w:val="002060"/>
          <w:lang w:val="en"/>
        </w:rPr>
      </w:pPr>
      <w:r w:rsidRPr="002B30D8">
        <w:rPr>
          <w:rFonts w:ascii="Arial" w:hAnsi="Arial" w:cs="Arial"/>
          <w:i/>
          <w:iCs/>
          <w:color w:val="002060"/>
          <w:lang w:val="en"/>
        </w:rPr>
        <w:t>Free movement with the European Union (EU) ended on 31 December 2020 and there are new arrangements for EU citizens.</w:t>
      </w:r>
    </w:p>
    <w:p w14:paraId="470C6834" w14:textId="190D0E35" w:rsidR="00403410" w:rsidRPr="002B30D8" w:rsidRDefault="00403410" w:rsidP="00403410">
      <w:pPr>
        <w:spacing w:before="240" w:after="240"/>
        <w:rPr>
          <w:rFonts w:ascii="Arial" w:hAnsi="Arial" w:cs="Arial"/>
          <w:i/>
          <w:iCs/>
          <w:color w:val="002060"/>
          <w:lang w:val="en"/>
        </w:rPr>
      </w:pPr>
      <w:r w:rsidRPr="002B30D8">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2B30D8">
          <w:rPr>
            <w:rStyle w:val="Hyperlink"/>
            <w:rFonts w:ascii="Arial" w:hAnsi="Arial" w:cs="Arial"/>
            <w:i/>
            <w:iCs/>
            <w:color w:val="002060"/>
            <w:lang w:val="en"/>
          </w:rPr>
          <w:t>scheme</w:t>
        </w:r>
      </w:hyperlink>
      <w:r w:rsidRPr="002B30D8">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2B30D8">
          <w:rPr>
            <w:rStyle w:val="Hyperlink"/>
            <w:rFonts w:ascii="Arial" w:hAnsi="Arial" w:cs="Arial"/>
            <w:i/>
            <w:iCs/>
            <w:color w:val="002060"/>
            <w:lang w:val="en"/>
          </w:rPr>
          <w:t>EU settlement scheme</w:t>
        </w:r>
      </w:hyperlink>
      <w:r w:rsidRPr="002B30D8">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2B30D8" w:rsidRDefault="00E30E13" w:rsidP="00B95E11">
      <w:pPr>
        <w:jc w:val="both"/>
        <w:rPr>
          <w:rFonts w:ascii="Arial" w:hAnsi="Arial" w:cs="Arial"/>
          <w:iCs/>
          <w:color w:val="002060"/>
        </w:rPr>
      </w:pPr>
      <w:r w:rsidRPr="002B30D8">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B30D8">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2B30D8">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2B30D8"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2B30D8"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2B30D8" w:rsidRDefault="008502BD" w:rsidP="00067415">
      <w:pPr>
        <w:tabs>
          <w:tab w:val="left" w:pos="0"/>
        </w:tabs>
        <w:autoSpaceDE w:val="0"/>
        <w:autoSpaceDN w:val="0"/>
        <w:adjustRightInd w:val="0"/>
        <w:jc w:val="both"/>
        <w:rPr>
          <w:rFonts w:ascii="Arial" w:hAnsi="Arial" w:cs="Arial"/>
          <w:b/>
          <w:iCs/>
          <w:color w:val="002060"/>
        </w:rPr>
      </w:pPr>
      <w:r w:rsidRPr="002B30D8">
        <w:rPr>
          <w:rFonts w:ascii="Arial" w:hAnsi="Arial" w:cs="Arial"/>
          <w:b/>
          <w:iCs/>
          <w:color w:val="002060"/>
        </w:rPr>
        <w:t>Data Protection Legislation</w:t>
      </w:r>
    </w:p>
    <w:p w14:paraId="33D1636F" w14:textId="77777777" w:rsidR="008502BD" w:rsidRPr="002B30D8"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2B30D8" w:rsidRDefault="008502BD" w:rsidP="00067415">
      <w:pPr>
        <w:tabs>
          <w:tab w:val="left" w:pos="0"/>
        </w:tabs>
        <w:autoSpaceDE w:val="0"/>
        <w:autoSpaceDN w:val="0"/>
        <w:adjustRightInd w:val="0"/>
        <w:jc w:val="both"/>
        <w:rPr>
          <w:rFonts w:ascii="Arial" w:hAnsi="Arial" w:cs="Arial"/>
          <w:iCs/>
          <w:color w:val="002060"/>
        </w:rPr>
      </w:pPr>
      <w:r w:rsidRPr="002B30D8">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2B30D8">
        <w:rPr>
          <w:rStyle w:val="Emphasis"/>
          <w:rFonts w:ascii="Arial" w:hAnsi="Arial" w:cs="Arial"/>
          <w:color w:val="002060"/>
        </w:rPr>
        <w:t xml:space="preserve">Applications submitted via the online NHS Scotland Application form will be imported into the NHS Greater Glasgow and Clyde recruitment system. </w:t>
      </w:r>
      <w:r w:rsidRPr="002B30D8">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2B30D8" w:rsidRDefault="008502BD" w:rsidP="00067415">
      <w:pPr>
        <w:jc w:val="both"/>
        <w:rPr>
          <w:rFonts w:ascii="Arial" w:hAnsi="Arial" w:cs="Arial"/>
          <w:color w:val="002060"/>
        </w:rPr>
      </w:pPr>
    </w:p>
    <w:p w14:paraId="36B7F18B" w14:textId="77777777" w:rsidR="008502BD" w:rsidRPr="002B30D8" w:rsidRDefault="008502BD" w:rsidP="00067415">
      <w:pPr>
        <w:jc w:val="both"/>
        <w:rPr>
          <w:rFonts w:ascii="Arial" w:hAnsi="Arial" w:cs="Arial"/>
          <w:color w:val="002060"/>
        </w:rPr>
      </w:pPr>
      <w:r w:rsidRPr="002B30D8">
        <w:rPr>
          <w:rFonts w:ascii="Arial" w:hAnsi="Arial" w:cs="Arial"/>
          <w:color w:val="002060"/>
        </w:rPr>
        <w:br w:type="page"/>
      </w:r>
    </w:p>
    <w:p w14:paraId="49BA24DB" w14:textId="4852AB41" w:rsidR="008502BD" w:rsidRPr="002B30D8" w:rsidRDefault="00C2705D" w:rsidP="00067415">
      <w:pPr>
        <w:kinsoku w:val="0"/>
        <w:overflowPunct w:val="0"/>
        <w:jc w:val="both"/>
        <w:rPr>
          <w:rFonts w:ascii="Arial" w:hAnsi="Arial" w:cs="Arial"/>
          <w:b/>
          <w:bCs/>
          <w:color w:val="002060"/>
          <w:sz w:val="32"/>
          <w:szCs w:val="32"/>
        </w:rPr>
      </w:pPr>
      <w:r w:rsidRPr="002B30D8">
        <w:rPr>
          <w:rFonts w:ascii="Arial" w:hAnsi="Arial" w:cs="Arial"/>
          <w:b/>
          <w:bCs/>
          <w:color w:val="002060"/>
          <w:sz w:val="32"/>
          <w:szCs w:val="32"/>
        </w:rPr>
        <w:lastRenderedPageBreak/>
        <w:t xml:space="preserve">Section </w:t>
      </w:r>
      <w:r w:rsidR="002B30D8" w:rsidRPr="002B30D8">
        <w:rPr>
          <w:rFonts w:ascii="Arial" w:hAnsi="Arial" w:cs="Arial"/>
          <w:b/>
          <w:bCs/>
          <w:color w:val="002060"/>
          <w:sz w:val="32"/>
          <w:szCs w:val="32"/>
        </w:rPr>
        <w:t>4</w:t>
      </w:r>
      <w:r w:rsidR="008502BD" w:rsidRPr="002B30D8">
        <w:rPr>
          <w:rFonts w:ascii="Arial" w:hAnsi="Arial" w:cs="Arial"/>
          <w:b/>
          <w:bCs/>
          <w:color w:val="002060"/>
          <w:sz w:val="32"/>
          <w:szCs w:val="32"/>
        </w:rPr>
        <w:t>:</w:t>
      </w:r>
      <w:r w:rsidR="008502BD" w:rsidRPr="002B30D8">
        <w:rPr>
          <w:rFonts w:ascii="Arial" w:hAnsi="Arial" w:cs="Arial"/>
          <w:b/>
          <w:bCs/>
          <w:color w:val="002060"/>
          <w:sz w:val="32"/>
          <w:szCs w:val="32"/>
        </w:rPr>
        <w:tab/>
      </w:r>
    </w:p>
    <w:p w14:paraId="0524CAB7" w14:textId="77777777" w:rsidR="008502BD" w:rsidRPr="002B30D8" w:rsidRDefault="008502BD" w:rsidP="00067415">
      <w:pPr>
        <w:kinsoku w:val="0"/>
        <w:overflowPunct w:val="0"/>
        <w:jc w:val="both"/>
        <w:rPr>
          <w:rFonts w:ascii="Arial" w:hAnsi="Arial" w:cs="Arial"/>
          <w:b/>
          <w:bCs/>
          <w:color w:val="002060"/>
          <w:sz w:val="32"/>
          <w:szCs w:val="32"/>
        </w:rPr>
      </w:pPr>
      <w:r w:rsidRPr="002B30D8">
        <w:rPr>
          <w:rFonts w:ascii="Arial" w:hAnsi="Arial" w:cs="Arial"/>
          <w:b/>
          <w:bCs/>
          <w:color w:val="002060"/>
          <w:sz w:val="32"/>
          <w:szCs w:val="32"/>
        </w:rPr>
        <w:t>Consultant Appointment</w:t>
      </w:r>
    </w:p>
    <w:p w14:paraId="6F818A32" w14:textId="77777777" w:rsidR="008502BD" w:rsidRPr="002B30D8" w:rsidRDefault="008502BD" w:rsidP="00067415">
      <w:pPr>
        <w:kinsoku w:val="0"/>
        <w:overflowPunct w:val="0"/>
        <w:jc w:val="both"/>
        <w:rPr>
          <w:rFonts w:ascii="Arial" w:hAnsi="Arial" w:cs="Arial"/>
          <w:b/>
          <w:bCs/>
          <w:color w:val="002060"/>
          <w:sz w:val="32"/>
        </w:rPr>
      </w:pPr>
      <w:r w:rsidRPr="002B30D8">
        <w:rPr>
          <w:rFonts w:ascii="Arial" w:hAnsi="Arial" w:cs="Arial"/>
          <w:b/>
          <w:bCs/>
          <w:color w:val="002060"/>
          <w:sz w:val="32"/>
          <w:szCs w:val="32"/>
        </w:rPr>
        <w:t>Terms and Conditions</w:t>
      </w:r>
    </w:p>
    <w:p w14:paraId="579F9773" w14:textId="77777777" w:rsidR="008502BD" w:rsidRPr="002B30D8" w:rsidRDefault="008502BD" w:rsidP="00067415">
      <w:pPr>
        <w:jc w:val="both"/>
        <w:rPr>
          <w:rFonts w:ascii="Arial" w:hAnsi="Arial" w:cs="Arial"/>
          <w:color w:val="002060"/>
        </w:rPr>
      </w:pPr>
    </w:p>
    <w:p w14:paraId="2081F736" w14:textId="77777777" w:rsidR="008502BD" w:rsidRPr="002B30D8" w:rsidRDefault="00E30E13" w:rsidP="00067415">
      <w:pPr>
        <w:jc w:val="both"/>
        <w:rPr>
          <w:rFonts w:ascii="Arial" w:hAnsi="Arial" w:cs="Arial"/>
          <w:b/>
          <w:iCs/>
          <w:color w:val="002060"/>
        </w:rPr>
      </w:pPr>
      <w:r w:rsidRPr="002B30D8">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B30D8">
        <w:rPr>
          <w:rFonts w:ascii="Arial" w:hAnsi="Arial" w:cs="Arial"/>
          <w:color w:val="002060"/>
        </w:rPr>
        <w:t xml:space="preserve">Terms and Conditions of Service are those determined by the Terms and Conditions of the New Consultant Grade (Scotland) as amended from time to time. </w:t>
      </w:r>
      <w:r w:rsidR="008502BD" w:rsidRPr="002B30D8">
        <w:rPr>
          <w:rFonts w:ascii="Arial" w:hAnsi="Arial" w:cs="Arial"/>
          <w:iCs/>
          <w:color w:val="002060"/>
        </w:rPr>
        <w:t>For an overview of the terms and conditions visit</w:t>
      </w:r>
      <w:r w:rsidR="008502BD" w:rsidRPr="002B30D8">
        <w:rPr>
          <w:rFonts w:ascii="Arial" w:hAnsi="Arial" w:cs="Arial"/>
          <w:b/>
          <w:iCs/>
          <w:color w:val="002060"/>
        </w:rPr>
        <w:t xml:space="preserve"> </w:t>
      </w:r>
      <w:hyperlink r:id="rId29" w:history="1">
        <w:r w:rsidR="008502BD" w:rsidRPr="002B30D8">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B30D8" w:rsidRPr="002B30D8" w14:paraId="253BF56B" w14:textId="77777777" w:rsidTr="00067415">
        <w:tc>
          <w:tcPr>
            <w:tcW w:w="2880" w:type="dxa"/>
          </w:tcPr>
          <w:p w14:paraId="34F5A3B1" w14:textId="77777777" w:rsidR="008502BD" w:rsidRPr="002B30D8" w:rsidRDefault="008502BD" w:rsidP="00067415">
            <w:pPr>
              <w:rPr>
                <w:rFonts w:ascii="Arial" w:hAnsi="Arial" w:cs="Arial"/>
                <w:color w:val="002060"/>
              </w:rPr>
            </w:pPr>
          </w:p>
          <w:p w14:paraId="4E95854E" w14:textId="77777777" w:rsidR="008502BD" w:rsidRPr="002B30D8" w:rsidRDefault="008502BD" w:rsidP="00067415">
            <w:pPr>
              <w:rPr>
                <w:rFonts w:ascii="Arial" w:hAnsi="Arial" w:cs="Arial"/>
                <w:b/>
                <w:color w:val="002060"/>
              </w:rPr>
            </w:pPr>
            <w:r w:rsidRPr="002B30D8">
              <w:rPr>
                <w:rFonts w:ascii="Arial" w:hAnsi="Arial" w:cs="Arial"/>
                <w:b/>
                <w:color w:val="002060"/>
              </w:rPr>
              <w:t>TYPE OF CONTRACT</w:t>
            </w:r>
          </w:p>
        </w:tc>
        <w:tc>
          <w:tcPr>
            <w:tcW w:w="7200" w:type="dxa"/>
          </w:tcPr>
          <w:p w14:paraId="5927F087" w14:textId="77777777" w:rsidR="008502BD" w:rsidRPr="002B30D8" w:rsidRDefault="008502BD" w:rsidP="00067415">
            <w:pPr>
              <w:rPr>
                <w:rFonts w:ascii="Arial" w:hAnsi="Arial" w:cs="Arial"/>
                <w:color w:val="002060"/>
              </w:rPr>
            </w:pPr>
          </w:p>
          <w:p w14:paraId="6C435A29" w14:textId="5551EBC3" w:rsidR="008502BD" w:rsidRPr="002B30D8" w:rsidRDefault="002B30D8" w:rsidP="00067415">
            <w:pPr>
              <w:rPr>
                <w:rFonts w:ascii="Arial" w:hAnsi="Arial" w:cs="Arial"/>
                <w:b/>
                <w:noProof/>
                <w:color w:val="002060"/>
              </w:rPr>
            </w:pPr>
            <w:r w:rsidRPr="002B30D8">
              <w:rPr>
                <w:rFonts w:ascii="Arial" w:hAnsi="Arial" w:cs="Arial"/>
                <w:b/>
                <w:noProof/>
                <w:color w:val="002060"/>
              </w:rPr>
              <w:t>Locum Consultant</w:t>
            </w:r>
          </w:p>
          <w:p w14:paraId="6EE6BF0B" w14:textId="77777777" w:rsidR="008502BD" w:rsidRPr="002B30D8" w:rsidRDefault="008502BD" w:rsidP="00067415">
            <w:pPr>
              <w:rPr>
                <w:rFonts w:ascii="Arial" w:hAnsi="Arial" w:cs="Arial"/>
                <w:color w:val="002060"/>
              </w:rPr>
            </w:pPr>
          </w:p>
        </w:tc>
      </w:tr>
      <w:tr w:rsidR="002B30D8" w:rsidRPr="002B30D8" w14:paraId="128C96E5" w14:textId="77777777" w:rsidTr="00067415">
        <w:tc>
          <w:tcPr>
            <w:tcW w:w="2880" w:type="dxa"/>
          </w:tcPr>
          <w:p w14:paraId="0842DD6B" w14:textId="77777777" w:rsidR="008502BD" w:rsidRPr="002B30D8" w:rsidRDefault="008502BD" w:rsidP="00067415">
            <w:pPr>
              <w:rPr>
                <w:rFonts w:ascii="Arial" w:hAnsi="Arial" w:cs="Arial"/>
                <w:color w:val="002060"/>
              </w:rPr>
            </w:pPr>
          </w:p>
          <w:p w14:paraId="083519A8" w14:textId="77777777" w:rsidR="008502BD" w:rsidRPr="002B30D8" w:rsidRDefault="008502BD" w:rsidP="00067415">
            <w:pPr>
              <w:rPr>
                <w:rFonts w:ascii="Arial" w:hAnsi="Arial" w:cs="Arial"/>
                <w:b/>
                <w:color w:val="002060"/>
              </w:rPr>
            </w:pPr>
            <w:r w:rsidRPr="002B30D8">
              <w:rPr>
                <w:rFonts w:ascii="Arial" w:hAnsi="Arial" w:cs="Arial"/>
                <w:b/>
                <w:color w:val="002060"/>
              </w:rPr>
              <w:t>GRADE AND SALARY</w:t>
            </w:r>
          </w:p>
          <w:p w14:paraId="7825F5F4" w14:textId="77777777" w:rsidR="008502BD" w:rsidRPr="002B30D8" w:rsidRDefault="008502BD" w:rsidP="00067415">
            <w:pPr>
              <w:rPr>
                <w:rFonts w:ascii="Arial" w:hAnsi="Arial" w:cs="Arial"/>
                <w:color w:val="002060"/>
              </w:rPr>
            </w:pPr>
          </w:p>
        </w:tc>
        <w:tc>
          <w:tcPr>
            <w:tcW w:w="7200" w:type="dxa"/>
          </w:tcPr>
          <w:p w14:paraId="63598D1F" w14:textId="77777777" w:rsidR="008502BD" w:rsidRPr="002B30D8" w:rsidRDefault="008502BD" w:rsidP="00067415">
            <w:pPr>
              <w:rPr>
                <w:rFonts w:ascii="Arial" w:hAnsi="Arial" w:cs="Arial"/>
                <w:color w:val="002060"/>
              </w:rPr>
            </w:pPr>
          </w:p>
          <w:p w14:paraId="7D87C549" w14:textId="0E1BE31E" w:rsidR="008502BD" w:rsidRPr="002B30D8" w:rsidRDefault="002B30D8" w:rsidP="00067415">
            <w:pPr>
              <w:rPr>
                <w:rFonts w:ascii="Arial" w:hAnsi="Arial" w:cs="Arial"/>
                <w:b/>
                <w:noProof/>
                <w:color w:val="002060"/>
              </w:rPr>
            </w:pPr>
            <w:r w:rsidRPr="002B30D8">
              <w:rPr>
                <w:rFonts w:ascii="Arial" w:hAnsi="Arial" w:cs="Arial"/>
                <w:b/>
                <w:noProof/>
                <w:color w:val="002060"/>
              </w:rPr>
              <w:t xml:space="preserve">Locum </w:t>
            </w:r>
            <w:r w:rsidR="00855109" w:rsidRPr="002B30D8">
              <w:rPr>
                <w:rFonts w:ascii="Arial" w:hAnsi="Arial" w:cs="Arial"/>
                <w:b/>
                <w:noProof/>
                <w:color w:val="002060"/>
              </w:rPr>
              <w:t xml:space="preserve">Consultant </w:t>
            </w:r>
          </w:p>
          <w:p w14:paraId="5CA8785B" w14:textId="77777777" w:rsidR="00855109" w:rsidRPr="002B30D8" w:rsidRDefault="00855109" w:rsidP="00067415">
            <w:pPr>
              <w:rPr>
                <w:rFonts w:ascii="Arial" w:hAnsi="Arial" w:cs="Arial"/>
                <w:noProof/>
                <w:color w:val="002060"/>
              </w:rPr>
            </w:pPr>
          </w:p>
          <w:p w14:paraId="461E1832" w14:textId="77777777" w:rsidR="008502BD" w:rsidRPr="002B30D8" w:rsidRDefault="008502BD" w:rsidP="00067415">
            <w:pPr>
              <w:rPr>
                <w:rFonts w:ascii="Arial" w:hAnsi="Arial" w:cs="Arial"/>
                <w:color w:val="002060"/>
              </w:rPr>
            </w:pPr>
            <w:r w:rsidRPr="002B30D8">
              <w:rPr>
                <w:rFonts w:ascii="Arial" w:hAnsi="Arial" w:cs="Arial"/>
                <w:color w:val="002060"/>
              </w:rPr>
              <w:t>The whole-time salary will be a starting salary of:-</w:t>
            </w:r>
          </w:p>
          <w:p w14:paraId="0B93078A" w14:textId="18F26A98" w:rsidR="008502BD" w:rsidRPr="002B30D8" w:rsidRDefault="00687E37" w:rsidP="00067415">
            <w:pPr>
              <w:rPr>
                <w:rFonts w:ascii="Arial" w:hAnsi="Arial" w:cs="Arial"/>
                <w:color w:val="002060"/>
              </w:rPr>
            </w:pPr>
            <w:r w:rsidRPr="002B30D8">
              <w:rPr>
                <w:rFonts w:ascii="Arial" w:hAnsi="Arial" w:cs="Arial"/>
                <w:color w:val="002060"/>
              </w:rPr>
              <w:t xml:space="preserve"> </w:t>
            </w:r>
            <w:r w:rsidR="00FD11A7" w:rsidRPr="002B30D8">
              <w:rPr>
                <w:rFonts w:ascii="Arial" w:hAnsi="Arial" w:cs="Arial"/>
                <w:color w:val="002060"/>
              </w:rPr>
              <w:t>£91,474 - £121,548</w:t>
            </w:r>
            <w:r w:rsidR="00D64689" w:rsidRPr="002B30D8">
              <w:rPr>
                <w:rFonts w:ascii="Arial" w:hAnsi="Arial" w:cs="Arial"/>
                <w:color w:val="002060"/>
              </w:rPr>
              <w:t xml:space="preserve"> </w:t>
            </w:r>
            <w:r w:rsidR="008502BD" w:rsidRPr="002B30D8">
              <w:rPr>
                <w:rFonts w:ascii="Arial" w:hAnsi="Arial" w:cs="Arial"/>
                <w:noProof/>
                <w:color w:val="002060"/>
              </w:rPr>
              <w:t>per</w:t>
            </w:r>
            <w:r w:rsidR="008502BD" w:rsidRPr="002B30D8">
              <w:rPr>
                <w:rFonts w:ascii="Arial" w:hAnsi="Arial" w:cs="Arial"/>
                <w:color w:val="002060"/>
              </w:rPr>
              <w:t xml:space="preserve"> annum (pro rata if applicable) </w:t>
            </w:r>
          </w:p>
          <w:p w14:paraId="2294F6A7" w14:textId="77777777" w:rsidR="008502BD" w:rsidRPr="002B30D8" w:rsidRDefault="008502BD" w:rsidP="00067415">
            <w:pPr>
              <w:rPr>
                <w:rFonts w:ascii="Arial" w:hAnsi="Arial" w:cs="Arial"/>
                <w:color w:val="002060"/>
              </w:rPr>
            </w:pPr>
          </w:p>
          <w:p w14:paraId="47C71D04" w14:textId="77777777" w:rsidR="008502BD" w:rsidRPr="002B30D8" w:rsidRDefault="008502BD" w:rsidP="00067415">
            <w:pPr>
              <w:rPr>
                <w:rFonts w:ascii="Arial" w:hAnsi="Arial" w:cs="Arial"/>
                <w:color w:val="002060"/>
              </w:rPr>
            </w:pPr>
            <w:r w:rsidRPr="002B30D8">
              <w:rPr>
                <w:rFonts w:ascii="Arial" w:hAnsi="Arial" w:cs="Arial"/>
                <w:color w:val="002060"/>
              </w:rPr>
              <w:t xml:space="preserve">Progression of salary is related to experience.  </w:t>
            </w:r>
          </w:p>
          <w:p w14:paraId="3CB0ECB5" w14:textId="77777777" w:rsidR="008502BD" w:rsidRPr="002B30D8" w:rsidRDefault="008502BD" w:rsidP="00067415">
            <w:pPr>
              <w:rPr>
                <w:rFonts w:ascii="Arial" w:hAnsi="Arial" w:cs="Arial"/>
                <w:color w:val="002060"/>
              </w:rPr>
            </w:pPr>
          </w:p>
          <w:p w14:paraId="6A75B5D1" w14:textId="77777777" w:rsidR="008502BD" w:rsidRPr="002B30D8" w:rsidRDefault="008502BD" w:rsidP="00067415">
            <w:pPr>
              <w:jc w:val="both"/>
              <w:rPr>
                <w:rFonts w:ascii="Arial" w:hAnsi="Arial" w:cs="Arial"/>
                <w:color w:val="002060"/>
              </w:rPr>
            </w:pPr>
            <w:r w:rsidRPr="002B30D8">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2B30D8" w:rsidRDefault="008502BD" w:rsidP="00067415">
            <w:pPr>
              <w:rPr>
                <w:rFonts w:ascii="Arial" w:hAnsi="Arial" w:cs="Arial"/>
                <w:color w:val="002060"/>
              </w:rPr>
            </w:pPr>
          </w:p>
        </w:tc>
      </w:tr>
      <w:tr w:rsidR="002B30D8" w:rsidRPr="002B30D8" w14:paraId="0638EA6A" w14:textId="77777777" w:rsidTr="00067415">
        <w:tc>
          <w:tcPr>
            <w:tcW w:w="2880" w:type="dxa"/>
          </w:tcPr>
          <w:p w14:paraId="3685782E" w14:textId="77777777" w:rsidR="008502BD" w:rsidRPr="002B30D8" w:rsidRDefault="008502BD" w:rsidP="00067415">
            <w:pPr>
              <w:rPr>
                <w:rFonts w:ascii="Arial" w:hAnsi="Arial" w:cs="Arial"/>
                <w:color w:val="002060"/>
              </w:rPr>
            </w:pPr>
          </w:p>
          <w:p w14:paraId="39603DE6" w14:textId="77777777" w:rsidR="008502BD" w:rsidRPr="002B30D8" w:rsidRDefault="008502BD" w:rsidP="00067415">
            <w:pPr>
              <w:rPr>
                <w:rFonts w:ascii="Arial" w:hAnsi="Arial" w:cs="Arial"/>
                <w:b/>
                <w:color w:val="002060"/>
              </w:rPr>
            </w:pPr>
            <w:r w:rsidRPr="002B30D8">
              <w:rPr>
                <w:rFonts w:ascii="Arial" w:hAnsi="Arial" w:cs="Arial"/>
                <w:b/>
                <w:color w:val="002060"/>
              </w:rPr>
              <w:t xml:space="preserve">HOURS OF WORK </w:t>
            </w:r>
          </w:p>
        </w:tc>
        <w:tc>
          <w:tcPr>
            <w:tcW w:w="7200" w:type="dxa"/>
          </w:tcPr>
          <w:p w14:paraId="3C337B71" w14:textId="77777777" w:rsidR="008502BD" w:rsidRPr="002B30D8" w:rsidRDefault="008502BD" w:rsidP="00067415">
            <w:pPr>
              <w:jc w:val="both"/>
              <w:rPr>
                <w:rFonts w:ascii="Arial" w:hAnsi="Arial" w:cs="Arial"/>
                <w:color w:val="002060"/>
              </w:rPr>
            </w:pPr>
          </w:p>
          <w:p w14:paraId="1E13848E" w14:textId="77777777" w:rsidR="008502BD" w:rsidRPr="002B30D8" w:rsidRDefault="008502BD" w:rsidP="00067415">
            <w:pPr>
              <w:jc w:val="both"/>
              <w:rPr>
                <w:rFonts w:ascii="Arial" w:hAnsi="Arial" w:cs="Arial"/>
                <w:b/>
                <w:noProof/>
                <w:color w:val="002060"/>
              </w:rPr>
            </w:pPr>
            <w:r w:rsidRPr="002B30D8">
              <w:rPr>
                <w:rFonts w:ascii="Arial" w:hAnsi="Arial" w:cs="Arial"/>
                <w:b/>
                <w:noProof/>
                <w:color w:val="002060"/>
              </w:rPr>
              <w:t xml:space="preserve">Full-Time </w:t>
            </w:r>
          </w:p>
          <w:p w14:paraId="6DD101A4" w14:textId="77777777" w:rsidR="008502BD" w:rsidRPr="002B30D8" w:rsidRDefault="008502BD" w:rsidP="00067415">
            <w:pPr>
              <w:jc w:val="both"/>
              <w:rPr>
                <w:rFonts w:ascii="Arial" w:hAnsi="Arial" w:cs="Arial"/>
                <w:color w:val="002060"/>
              </w:rPr>
            </w:pPr>
          </w:p>
        </w:tc>
      </w:tr>
      <w:tr w:rsidR="002B30D8" w:rsidRPr="002B30D8" w14:paraId="64DEBBA8" w14:textId="77777777" w:rsidTr="00067415">
        <w:tc>
          <w:tcPr>
            <w:tcW w:w="2880" w:type="dxa"/>
          </w:tcPr>
          <w:p w14:paraId="5085A578" w14:textId="77777777" w:rsidR="008502BD" w:rsidRPr="002B30D8" w:rsidRDefault="008502BD" w:rsidP="00067415">
            <w:pPr>
              <w:rPr>
                <w:rFonts w:ascii="Arial" w:hAnsi="Arial" w:cs="Arial"/>
                <w:b/>
                <w:color w:val="002060"/>
              </w:rPr>
            </w:pPr>
          </w:p>
          <w:p w14:paraId="3229D8F1" w14:textId="77777777" w:rsidR="008502BD" w:rsidRPr="002B30D8" w:rsidRDefault="008502BD" w:rsidP="00067415">
            <w:pPr>
              <w:rPr>
                <w:rFonts w:ascii="Arial" w:hAnsi="Arial" w:cs="Arial"/>
                <w:b/>
                <w:color w:val="002060"/>
              </w:rPr>
            </w:pPr>
            <w:r w:rsidRPr="002B30D8">
              <w:rPr>
                <w:rFonts w:ascii="Arial" w:hAnsi="Arial" w:cs="Arial"/>
                <w:b/>
                <w:color w:val="002060"/>
              </w:rPr>
              <w:t>SUPERANNUATION</w:t>
            </w:r>
          </w:p>
          <w:p w14:paraId="0A74620E" w14:textId="77777777" w:rsidR="008502BD" w:rsidRPr="002B30D8" w:rsidRDefault="008502BD" w:rsidP="00067415">
            <w:pPr>
              <w:rPr>
                <w:rFonts w:ascii="Arial" w:hAnsi="Arial" w:cs="Arial"/>
                <w:b/>
                <w:color w:val="002060"/>
              </w:rPr>
            </w:pPr>
          </w:p>
        </w:tc>
        <w:tc>
          <w:tcPr>
            <w:tcW w:w="7200" w:type="dxa"/>
          </w:tcPr>
          <w:p w14:paraId="2DE27805" w14:textId="77777777" w:rsidR="008502BD" w:rsidRPr="002B30D8" w:rsidRDefault="008502BD" w:rsidP="00067415">
            <w:pPr>
              <w:jc w:val="both"/>
              <w:rPr>
                <w:rFonts w:ascii="Arial" w:hAnsi="Arial" w:cs="Arial"/>
                <w:color w:val="002060"/>
              </w:rPr>
            </w:pPr>
          </w:p>
          <w:p w14:paraId="642335D9" w14:textId="77777777" w:rsidR="008502BD" w:rsidRPr="002B30D8" w:rsidRDefault="008502BD" w:rsidP="00067415">
            <w:pPr>
              <w:jc w:val="both"/>
              <w:rPr>
                <w:rFonts w:ascii="Arial" w:hAnsi="Arial" w:cs="Arial"/>
                <w:color w:val="002060"/>
              </w:rPr>
            </w:pPr>
            <w:r w:rsidRPr="002B30D8">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2B30D8">
                <w:rPr>
                  <w:rStyle w:val="Hyperlink"/>
                  <w:rFonts w:ascii="Arial" w:hAnsi="Arial" w:cs="Arial"/>
                  <w:color w:val="002060"/>
                </w:rPr>
                <w:t>www.sppa.gov.uk</w:t>
              </w:r>
            </w:hyperlink>
            <w:r w:rsidRPr="002B30D8">
              <w:rPr>
                <w:rFonts w:ascii="Arial" w:hAnsi="Arial" w:cs="Arial"/>
                <w:color w:val="002060"/>
              </w:rPr>
              <w:t xml:space="preserve"> </w:t>
            </w:r>
          </w:p>
          <w:p w14:paraId="35D5C476" w14:textId="77777777" w:rsidR="008502BD" w:rsidRPr="002B30D8" w:rsidRDefault="008502BD" w:rsidP="00067415">
            <w:pPr>
              <w:jc w:val="both"/>
              <w:rPr>
                <w:rFonts w:ascii="Arial" w:hAnsi="Arial" w:cs="Arial"/>
                <w:color w:val="002060"/>
              </w:rPr>
            </w:pPr>
          </w:p>
        </w:tc>
      </w:tr>
      <w:tr w:rsidR="002B30D8" w:rsidRPr="002B30D8" w14:paraId="19160E55" w14:textId="77777777" w:rsidTr="00067415">
        <w:tc>
          <w:tcPr>
            <w:tcW w:w="2880" w:type="dxa"/>
          </w:tcPr>
          <w:p w14:paraId="4FD1FF3C" w14:textId="77777777" w:rsidR="008502BD" w:rsidRPr="002B30D8" w:rsidRDefault="008502BD" w:rsidP="00067415">
            <w:pPr>
              <w:rPr>
                <w:rFonts w:ascii="Arial" w:hAnsi="Arial" w:cs="Arial"/>
                <w:color w:val="002060"/>
              </w:rPr>
            </w:pPr>
          </w:p>
          <w:p w14:paraId="46398D85" w14:textId="77777777" w:rsidR="008502BD" w:rsidRPr="002B30D8" w:rsidRDefault="008502BD" w:rsidP="00067415">
            <w:pPr>
              <w:rPr>
                <w:rFonts w:ascii="Arial" w:hAnsi="Arial" w:cs="Arial"/>
                <w:b/>
                <w:color w:val="002060"/>
              </w:rPr>
            </w:pPr>
            <w:r w:rsidRPr="002B30D8">
              <w:rPr>
                <w:rFonts w:ascii="Arial" w:hAnsi="Arial" w:cs="Arial"/>
                <w:b/>
                <w:color w:val="002060"/>
              </w:rPr>
              <w:t>REMOVAL EXPENSES</w:t>
            </w:r>
          </w:p>
          <w:p w14:paraId="28F6F04C" w14:textId="77777777" w:rsidR="008502BD" w:rsidRPr="002B30D8" w:rsidRDefault="008502BD" w:rsidP="00067415">
            <w:pPr>
              <w:rPr>
                <w:rFonts w:ascii="Arial" w:hAnsi="Arial" w:cs="Arial"/>
                <w:color w:val="002060"/>
              </w:rPr>
            </w:pPr>
          </w:p>
        </w:tc>
        <w:tc>
          <w:tcPr>
            <w:tcW w:w="7200" w:type="dxa"/>
          </w:tcPr>
          <w:p w14:paraId="246D6A4E" w14:textId="77777777" w:rsidR="008502BD" w:rsidRPr="002B30D8" w:rsidRDefault="008502BD" w:rsidP="00067415">
            <w:pPr>
              <w:rPr>
                <w:rFonts w:ascii="Arial" w:hAnsi="Arial" w:cs="Arial"/>
                <w:color w:val="002060"/>
              </w:rPr>
            </w:pPr>
          </w:p>
          <w:p w14:paraId="1493EBE2" w14:textId="77777777" w:rsidR="008502BD" w:rsidRPr="002B30D8" w:rsidRDefault="008502BD" w:rsidP="00067415">
            <w:pPr>
              <w:jc w:val="both"/>
              <w:rPr>
                <w:rFonts w:ascii="Arial" w:hAnsi="Arial" w:cs="Arial"/>
                <w:color w:val="002060"/>
              </w:rPr>
            </w:pPr>
            <w:r w:rsidRPr="002B30D8">
              <w:rPr>
                <w:rFonts w:ascii="Arial" w:hAnsi="Arial" w:cs="Arial"/>
                <w:color w:val="002060"/>
              </w:rPr>
              <w:t xml:space="preserve">Assistance with removal and associated expenses may be given and would be discussed and agreed prior to appointment.   </w:t>
            </w:r>
          </w:p>
          <w:p w14:paraId="09CD03C3" w14:textId="77777777" w:rsidR="008502BD" w:rsidRPr="002B30D8" w:rsidRDefault="008502BD" w:rsidP="00067415">
            <w:pPr>
              <w:rPr>
                <w:rFonts w:ascii="Arial" w:hAnsi="Arial" w:cs="Arial"/>
                <w:color w:val="002060"/>
              </w:rPr>
            </w:pPr>
          </w:p>
        </w:tc>
      </w:tr>
      <w:tr w:rsidR="002B30D8" w:rsidRPr="002B30D8" w14:paraId="4BD47166" w14:textId="77777777" w:rsidTr="00067415">
        <w:tc>
          <w:tcPr>
            <w:tcW w:w="2880" w:type="dxa"/>
          </w:tcPr>
          <w:p w14:paraId="7E309915" w14:textId="77777777" w:rsidR="008502BD" w:rsidRPr="002B30D8" w:rsidRDefault="008502BD" w:rsidP="00067415">
            <w:pPr>
              <w:rPr>
                <w:rFonts w:ascii="Arial" w:hAnsi="Arial" w:cs="Arial"/>
                <w:color w:val="002060"/>
              </w:rPr>
            </w:pPr>
          </w:p>
          <w:p w14:paraId="296DC267" w14:textId="77777777" w:rsidR="008502BD" w:rsidRPr="002B30D8" w:rsidRDefault="008502BD" w:rsidP="00067415">
            <w:pPr>
              <w:rPr>
                <w:rFonts w:ascii="Arial" w:hAnsi="Arial" w:cs="Arial"/>
                <w:b/>
                <w:color w:val="002060"/>
              </w:rPr>
            </w:pPr>
            <w:r w:rsidRPr="002B30D8">
              <w:rPr>
                <w:rFonts w:ascii="Arial" w:hAnsi="Arial" w:cs="Arial"/>
                <w:b/>
                <w:color w:val="002060"/>
              </w:rPr>
              <w:t>EXPENSES OF CANDIDATES FOR APPOINTMENT</w:t>
            </w:r>
          </w:p>
          <w:p w14:paraId="72C7A1FC" w14:textId="77777777" w:rsidR="008502BD" w:rsidRPr="002B30D8" w:rsidRDefault="008502BD" w:rsidP="00067415">
            <w:pPr>
              <w:rPr>
                <w:rFonts w:ascii="Arial" w:hAnsi="Arial" w:cs="Arial"/>
                <w:b/>
                <w:color w:val="002060"/>
              </w:rPr>
            </w:pPr>
          </w:p>
        </w:tc>
        <w:tc>
          <w:tcPr>
            <w:tcW w:w="7200" w:type="dxa"/>
          </w:tcPr>
          <w:p w14:paraId="6F9E4611" w14:textId="77777777" w:rsidR="008502BD" w:rsidRPr="002B30D8" w:rsidRDefault="008502BD" w:rsidP="00067415">
            <w:pPr>
              <w:rPr>
                <w:rFonts w:ascii="Arial" w:hAnsi="Arial" w:cs="Arial"/>
                <w:color w:val="002060"/>
              </w:rPr>
            </w:pPr>
          </w:p>
          <w:p w14:paraId="25F2EE64" w14:textId="77777777" w:rsidR="008502BD" w:rsidRPr="002B30D8" w:rsidRDefault="008502BD" w:rsidP="00067415">
            <w:pPr>
              <w:jc w:val="both"/>
              <w:rPr>
                <w:rFonts w:ascii="Arial" w:hAnsi="Arial" w:cs="Arial"/>
                <w:color w:val="002060"/>
              </w:rPr>
            </w:pPr>
            <w:r w:rsidRPr="002B30D8">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2B30D8" w:rsidRDefault="008502BD" w:rsidP="00067415">
            <w:pPr>
              <w:rPr>
                <w:rFonts w:ascii="Arial" w:hAnsi="Arial" w:cs="Arial"/>
                <w:color w:val="002060"/>
              </w:rPr>
            </w:pPr>
          </w:p>
        </w:tc>
      </w:tr>
      <w:tr w:rsidR="002B30D8" w:rsidRPr="002B30D8" w14:paraId="3BA1A683" w14:textId="77777777" w:rsidTr="00067415">
        <w:tc>
          <w:tcPr>
            <w:tcW w:w="2880" w:type="dxa"/>
          </w:tcPr>
          <w:p w14:paraId="300F3118" w14:textId="77777777" w:rsidR="008502BD" w:rsidRPr="002B30D8" w:rsidRDefault="008502BD" w:rsidP="00067415">
            <w:pPr>
              <w:rPr>
                <w:rFonts w:ascii="Arial" w:hAnsi="Arial" w:cs="Arial"/>
                <w:color w:val="002060"/>
              </w:rPr>
            </w:pPr>
          </w:p>
          <w:p w14:paraId="51DB33CB" w14:textId="77777777" w:rsidR="008502BD" w:rsidRPr="002B30D8" w:rsidRDefault="008502BD" w:rsidP="00067415">
            <w:pPr>
              <w:rPr>
                <w:rFonts w:ascii="Arial" w:hAnsi="Arial" w:cs="Arial"/>
                <w:b/>
                <w:color w:val="002060"/>
              </w:rPr>
            </w:pPr>
            <w:r w:rsidRPr="002B30D8">
              <w:rPr>
                <w:rFonts w:ascii="Arial" w:hAnsi="Arial" w:cs="Arial"/>
                <w:b/>
                <w:color w:val="002060"/>
              </w:rPr>
              <w:t>SMOKEFREE POLICY</w:t>
            </w:r>
          </w:p>
        </w:tc>
        <w:tc>
          <w:tcPr>
            <w:tcW w:w="7200" w:type="dxa"/>
          </w:tcPr>
          <w:p w14:paraId="615ED6EC" w14:textId="77777777" w:rsidR="008502BD" w:rsidRPr="002B30D8" w:rsidRDefault="008502BD" w:rsidP="00067415">
            <w:pPr>
              <w:rPr>
                <w:rFonts w:ascii="Arial" w:hAnsi="Arial" w:cs="Arial"/>
                <w:color w:val="002060"/>
              </w:rPr>
            </w:pPr>
          </w:p>
          <w:p w14:paraId="0E681652" w14:textId="77777777" w:rsidR="008502BD" w:rsidRPr="002B30D8" w:rsidRDefault="008502BD" w:rsidP="004C54E6">
            <w:pPr>
              <w:jc w:val="both"/>
              <w:rPr>
                <w:rFonts w:ascii="Arial" w:hAnsi="Arial" w:cs="Arial"/>
                <w:color w:val="002060"/>
              </w:rPr>
            </w:pPr>
            <w:r w:rsidRPr="002B30D8">
              <w:rPr>
                <w:rFonts w:ascii="Arial" w:hAnsi="Arial" w:cs="Arial"/>
                <w:color w:val="002060"/>
              </w:rPr>
              <w:t>NHS Greater Glasgow and Clyde operate a No Smoking Policy in all premises and grounds.</w:t>
            </w:r>
          </w:p>
          <w:p w14:paraId="4A2D018F" w14:textId="77777777" w:rsidR="008502BD" w:rsidRPr="002B30D8" w:rsidRDefault="008502BD" w:rsidP="00067415">
            <w:pPr>
              <w:rPr>
                <w:rFonts w:ascii="Arial" w:hAnsi="Arial" w:cs="Arial"/>
                <w:color w:val="002060"/>
              </w:rPr>
            </w:pPr>
          </w:p>
        </w:tc>
      </w:tr>
      <w:tr w:rsidR="002B30D8" w:rsidRPr="002B30D8" w14:paraId="784F8386" w14:textId="77777777" w:rsidTr="00067415">
        <w:tc>
          <w:tcPr>
            <w:tcW w:w="2880" w:type="dxa"/>
          </w:tcPr>
          <w:p w14:paraId="437DC815" w14:textId="77777777" w:rsidR="008502BD" w:rsidRPr="002B30D8" w:rsidRDefault="008502BD" w:rsidP="00067415">
            <w:pPr>
              <w:rPr>
                <w:rFonts w:ascii="Arial" w:hAnsi="Arial" w:cs="Arial"/>
                <w:color w:val="002060"/>
              </w:rPr>
            </w:pPr>
          </w:p>
          <w:p w14:paraId="4B7194F6" w14:textId="77777777" w:rsidR="008502BD" w:rsidRPr="002B30D8" w:rsidRDefault="008502BD" w:rsidP="00067415">
            <w:pPr>
              <w:rPr>
                <w:rFonts w:ascii="Arial" w:hAnsi="Arial" w:cs="Arial"/>
                <w:color w:val="002060"/>
              </w:rPr>
            </w:pPr>
          </w:p>
          <w:p w14:paraId="5F6C7835" w14:textId="77777777" w:rsidR="008502BD" w:rsidRPr="002B30D8" w:rsidRDefault="008502BD" w:rsidP="00067415">
            <w:pPr>
              <w:rPr>
                <w:rFonts w:ascii="Arial" w:hAnsi="Arial" w:cs="Arial"/>
                <w:b/>
                <w:color w:val="002060"/>
              </w:rPr>
            </w:pPr>
            <w:r w:rsidRPr="002B30D8">
              <w:rPr>
                <w:rFonts w:ascii="Arial" w:hAnsi="Arial" w:cs="Arial"/>
                <w:b/>
                <w:color w:val="002060"/>
              </w:rPr>
              <w:t>DISCLOSURE SCOTLAND</w:t>
            </w:r>
          </w:p>
        </w:tc>
        <w:tc>
          <w:tcPr>
            <w:tcW w:w="7200" w:type="dxa"/>
          </w:tcPr>
          <w:p w14:paraId="5F4C7719" w14:textId="77777777" w:rsidR="008502BD" w:rsidRPr="002B30D8" w:rsidRDefault="008502BD" w:rsidP="00067415">
            <w:pPr>
              <w:rPr>
                <w:rFonts w:ascii="Arial" w:hAnsi="Arial" w:cs="Arial"/>
                <w:color w:val="002060"/>
              </w:rPr>
            </w:pPr>
          </w:p>
          <w:p w14:paraId="1381DEDD" w14:textId="77777777" w:rsidR="008502BD" w:rsidRPr="002B30D8" w:rsidRDefault="008502BD" w:rsidP="00656132">
            <w:pPr>
              <w:jc w:val="both"/>
              <w:rPr>
                <w:rFonts w:ascii="Arial" w:hAnsi="Arial" w:cs="Arial"/>
                <w:color w:val="002060"/>
              </w:rPr>
            </w:pPr>
            <w:r w:rsidRPr="002B30D8">
              <w:rPr>
                <w:rFonts w:ascii="Arial" w:hAnsi="Arial" w:cs="Arial"/>
                <w:color w:val="002060"/>
              </w:rPr>
              <w:t>This post is considered to be in the category of “Regulated Work” and therefore requires a Disclosure Scotland Protection of Vulnerable Groups Scheme (PVG) Membership.</w:t>
            </w:r>
          </w:p>
        </w:tc>
      </w:tr>
      <w:tr w:rsidR="002B30D8" w:rsidRPr="002B30D8" w14:paraId="2BED7D50" w14:textId="77777777" w:rsidTr="00067415">
        <w:tc>
          <w:tcPr>
            <w:tcW w:w="2880" w:type="dxa"/>
          </w:tcPr>
          <w:p w14:paraId="1D759136" w14:textId="77777777" w:rsidR="008502BD" w:rsidRPr="002B30D8" w:rsidRDefault="008502BD" w:rsidP="00067415">
            <w:pPr>
              <w:rPr>
                <w:rFonts w:ascii="Arial" w:hAnsi="Arial" w:cs="Arial"/>
                <w:color w:val="002060"/>
              </w:rPr>
            </w:pPr>
          </w:p>
          <w:p w14:paraId="42507CE3" w14:textId="77777777" w:rsidR="008502BD" w:rsidRPr="002B30D8" w:rsidRDefault="008502BD" w:rsidP="00067415">
            <w:pPr>
              <w:rPr>
                <w:rFonts w:ascii="Arial" w:hAnsi="Arial" w:cs="Arial"/>
                <w:b/>
                <w:color w:val="002060"/>
              </w:rPr>
            </w:pPr>
            <w:r w:rsidRPr="002B30D8">
              <w:rPr>
                <w:rFonts w:ascii="Arial" w:hAnsi="Arial" w:cs="Arial"/>
                <w:b/>
                <w:color w:val="002060"/>
              </w:rPr>
              <w:t>CONFIRMATION OF ELIGIBILITY TO WORK IN THE UK</w:t>
            </w:r>
          </w:p>
          <w:p w14:paraId="24D3FA1E" w14:textId="77777777" w:rsidR="008502BD" w:rsidRPr="002B30D8" w:rsidRDefault="008502BD" w:rsidP="00067415">
            <w:pPr>
              <w:rPr>
                <w:rFonts w:ascii="Arial" w:hAnsi="Arial" w:cs="Arial"/>
                <w:color w:val="002060"/>
              </w:rPr>
            </w:pPr>
          </w:p>
        </w:tc>
        <w:tc>
          <w:tcPr>
            <w:tcW w:w="7200" w:type="dxa"/>
          </w:tcPr>
          <w:p w14:paraId="732F08B8" w14:textId="77777777" w:rsidR="008502BD" w:rsidRPr="002B30D8" w:rsidRDefault="008502BD" w:rsidP="00067415">
            <w:pPr>
              <w:rPr>
                <w:rFonts w:ascii="Arial" w:hAnsi="Arial" w:cs="Arial"/>
                <w:color w:val="002060"/>
              </w:rPr>
            </w:pPr>
          </w:p>
          <w:p w14:paraId="6E6E610B" w14:textId="77777777" w:rsidR="008502BD" w:rsidRPr="002B30D8" w:rsidRDefault="008502BD" w:rsidP="00067415">
            <w:pPr>
              <w:jc w:val="both"/>
              <w:rPr>
                <w:rFonts w:ascii="Arial" w:hAnsi="Arial" w:cs="Arial"/>
                <w:color w:val="002060"/>
              </w:rPr>
            </w:pPr>
            <w:r w:rsidRPr="002B30D8">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2B30D8">
              <w:rPr>
                <w:rFonts w:ascii="Arial" w:hAnsi="Arial" w:cs="Arial"/>
                <w:color w:val="002060"/>
              </w:rPr>
              <w:t>verified..</w:t>
            </w:r>
            <w:proofErr w:type="gramEnd"/>
            <w:r w:rsidRPr="002B30D8">
              <w:rPr>
                <w:rFonts w:ascii="Arial" w:hAnsi="Arial" w:cs="Arial"/>
                <w:color w:val="002060"/>
              </w:rPr>
              <w:t xml:space="preserve"> You will be required provide appropriate documentation prior to any appointment being made.</w:t>
            </w:r>
          </w:p>
          <w:p w14:paraId="1B8DD9E9" w14:textId="77777777" w:rsidR="008502BD" w:rsidRPr="002B30D8" w:rsidRDefault="008502BD" w:rsidP="00067415">
            <w:pPr>
              <w:jc w:val="both"/>
              <w:rPr>
                <w:rFonts w:ascii="Arial" w:hAnsi="Arial" w:cs="Arial"/>
                <w:color w:val="002060"/>
              </w:rPr>
            </w:pPr>
          </w:p>
        </w:tc>
      </w:tr>
      <w:tr w:rsidR="002B30D8" w:rsidRPr="002B30D8" w14:paraId="49AD8B47" w14:textId="77777777" w:rsidTr="00067415">
        <w:tc>
          <w:tcPr>
            <w:tcW w:w="2880" w:type="dxa"/>
          </w:tcPr>
          <w:p w14:paraId="50ED2C58" w14:textId="77777777" w:rsidR="008502BD" w:rsidRPr="002B30D8" w:rsidRDefault="008502BD" w:rsidP="00067415">
            <w:pPr>
              <w:rPr>
                <w:rFonts w:ascii="Arial" w:hAnsi="Arial" w:cs="Arial"/>
                <w:color w:val="002060"/>
              </w:rPr>
            </w:pPr>
          </w:p>
          <w:p w14:paraId="35CB1458" w14:textId="77777777" w:rsidR="008502BD" w:rsidRPr="002B30D8" w:rsidRDefault="008502BD" w:rsidP="00067415">
            <w:pPr>
              <w:rPr>
                <w:rFonts w:ascii="Arial" w:hAnsi="Arial" w:cs="Arial"/>
                <w:b/>
                <w:color w:val="002060"/>
              </w:rPr>
            </w:pPr>
            <w:r w:rsidRPr="002B30D8">
              <w:rPr>
                <w:rFonts w:ascii="Arial" w:hAnsi="Arial" w:cs="Arial"/>
                <w:b/>
                <w:color w:val="002060"/>
              </w:rPr>
              <w:t>REHABILITATION OF OFFENDERS ACT 1974</w:t>
            </w:r>
          </w:p>
        </w:tc>
        <w:tc>
          <w:tcPr>
            <w:tcW w:w="7200" w:type="dxa"/>
          </w:tcPr>
          <w:p w14:paraId="4AD84EC8" w14:textId="77777777" w:rsidR="008502BD" w:rsidRPr="002B30D8" w:rsidRDefault="008502BD" w:rsidP="00067415">
            <w:pPr>
              <w:rPr>
                <w:rFonts w:ascii="Arial" w:hAnsi="Arial" w:cs="Arial"/>
                <w:color w:val="002060"/>
              </w:rPr>
            </w:pPr>
          </w:p>
          <w:p w14:paraId="67532E30" w14:textId="77777777" w:rsidR="008502BD" w:rsidRPr="002B30D8" w:rsidRDefault="008502BD" w:rsidP="00067415">
            <w:pPr>
              <w:jc w:val="both"/>
              <w:rPr>
                <w:rFonts w:ascii="Arial" w:hAnsi="Arial" w:cs="Arial"/>
                <w:color w:val="002060"/>
              </w:rPr>
            </w:pPr>
            <w:r w:rsidRPr="002B30D8">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2B30D8" w:rsidRDefault="008502BD" w:rsidP="00067415">
            <w:pPr>
              <w:rPr>
                <w:rFonts w:ascii="Arial" w:hAnsi="Arial" w:cs="Arial"/>
                <w:color w:val="002060"/>
              </w:rPr>
            </w:pPr>
          </w:p>
        </w:tc>
      </w:tr>
      <w:tr w:rsidR="002B30D8" w:rsidRPr="002B30D8" w14:paraId="546B349E" w14:textId="77777777" w:rsidTr="00067415">
        <w:tc>
          <w:tcPr>
            <w:tcW w:w="2880" w:type="dxa"/>
          </w:tcPr>
          <w:p w14:paraId="21C50D91" w14:textId="77777777" w:rsidR="008502BD" w:rsidRPr="002B30D8" w:rsidRDefault="008502BD" w:rsidP="00067415">
            <w:pPr>
              <w:rPr>
                <w:rFonts w:ascii="Arial" w:hAnsi="Arial" w:cs="Arial"/>
                <w:color w:val="002060"/>
              </w:rPr>
            </w:pPr>
          </w:p>
          <w:p w14:paraId="1FA6474C" w14:textId="77777777" w:rsidR="008502BD" w:rsidRPr="002B30D8" w:rsidRDefault="008502BD" w:rsidP="00067415">
            <w:pPr>
              <w:rPr>
                <w:rFonts w:ascii="Arial" w:hAnsi="Arial" w:cs="Arial"/>
                <w:b/>
                <w:color w:val="002060"/>
              </w:rPr>
            </w:pPr>
            <w:r w:rsidRPr="002B30D8">
              <w:rPr>
                <w:rFonts w:ascii="Arial" w:hAnsi="Arial" w:cs="Arial"/>
                <w:b/>
                <w:color w:val="002060"/>
              </w:rPr>
              <w:t>DISABLED APPLICANTS</w:t>
            </w:r>
          </w:p>
          <w:p w14:paraId="4909FD5C" w14:textId="77777777" w:rsidR="008502BD" w:rsidRPr="002B30D8" w:rsidRDefault="008502BD" w:rsidP="00067415">
            <w:pPr>
              <w:rPr>
                <w:rFonts w:ascii="Arial" w:hAnsi="Arial" w:cs="Arial"/>
                <w:color w:val="002060"/>
              </w:rPr>
            </w:pPr>
          </w:p>
        </w:tc>
        <w:tc>
          <w:tcPr>
            <w:tcW w:w="7200" w:type="dxa"/>
          </w:tcPr>
          <w:p w14:paraId="1F498897" w14:textId="77777777" w:rsidR="008502BD" w:rsidRPr="002B30D8" w:rsidRDefault="008502BD" w:rsidP="00067415">
            <w:pPr>
              <w:rPr>
                <w:rFonts w:ascii="Arial" w:hAnsi="Arial" w:cs="Arial"/>
                <w:color w:val="002060"/>
              </w:rPr>
            </w:pPr>
          </w:p>
          <w:p w14:paraId="6309DE59" w14:textId="77777777" w:rsidR="008502BD" w:rsidRPr="002B30D8" w:rsidRDefault="008502BD" w:rsidP="00067415">
            <w:pPr>
              <w:jc w:val="both"/>
              <w:rPr>
                <w:rFonts w:ascii="Arial" w:hAnsi="Arial" w:cs="Arial"/>
                <w:color w:val="002060"/>
                <w:u w:val="single"/>
              </w:rPr>
            </w:pPr>
            <w:r w:rsidRPr="002B30D8">
              <w:rPr>
                <w:rFonts w:ascii="Arial" w:hAnsi="Arial" w:cs="Arial"/>
                <w:color w:val="002060"/>
                <w:u w:val="single"/>
              </w:rPr>
              <w:t xml:space="preserve">Job Interview Guarantee Scheme </w:t>
            </w:r>
          </w:p>
          <w:p w14:paraId="0CA3DFD7" w14:textId="77777777" w:rsidR="008502BD" w:rsidRPr="002B30D8" w:rsidRDefault="008502BD" w:rsidP="00067415">
            <w:pPr>
              <w:jc w:val="both"/>
              <w:rPr>
                <w:rFonts w:ascii="Arial" w:hAnsi="Arial" w:cs="Arial"/>
                <w:color w:val="002060"/>
              </w:rPr>
            </w:pPr>
          </w:p>
          <w:p w14:paraId="05CEF6FA" w14:textId="77777777" w:rsidR="008502BD" w:rsidRPr="002B30D8" w:rsidRDefault="008502BD" w:rsidP="00067415">
            <w:pPr>
              <w:jc w:val="both"/>
              <w:rPr>
                <w:rFonts w:ascii="Arial" w:hAnsi="Arial" w:cs="Arial"/>
                <w:color w:val="002060"/>
              </w:rPr>
            </w:pPr>
            <w:r w:rsidRPr="002B30D8">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2B30D8" w:rsidRDefault="008502BD" w:rsidP="00067415">
            <w:pPr>
              <w:rPr>
                <w:rFonts w:ascii="Arial" w:hAnsi="Arial" w:cs="Arial"/>
                <w:color w:val="002060"/>
              </w:rPr>
            </w:pPr>
          </w:p>
        </w:tc>
      </w:tr>
    </w:tbl>
    <w:p w14:paraId="2FCE634C" w14:textId="77777777" w:rsidR="008502BD" w:rsidRPr="002B30D8" w:rsidRDefault="00E30E13" w:rsidP="00067415">
      <w:pPr>
        <w:spacing w:after="200" w:line="276" w:lineRule="auto"/>
        <w:rPr>
          <w:rFonts w:ascii="Arial" w:hAnsi="Arial" w:cs="Arial"/>
          <w:b/>
          <w:iCs/>
          <w:color w:val="002060"/>
        </w:rPr>
      </w:pPr>
      <w:r w:rsidRPr="002B30D8">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2B30D8" w:rsidRDefault="008502BD" w:rsidP="00067415">
      <w:pPr>
        <w:spacing w:after="200" w:line="276" w:lineRule="auto"/>
        <w:rPr>
          <w:rFonts w:ascii="Arial" w:hAnsi="Arial" w:cs="Arial"/>
          <w:b/>
          <w:iCs/>
          <w:color w:val="002060"/>
        </w:rPr>
      </w:pPr>
    </w:p>
    <w:p w14:paraId="4E6DF05C" w14:textId="77777777" w:rsidR="008502BD" w:rsidRPr="002B30D8" w:rsidRDefault="008502BD" w:rsidP="00067415">
      <w:pPr>
        <w:jc w:val="right"/>
        <w:rPr>
          <w:rFonts w:ascii="Arial" w:hAnsi="Arial" w:cs="Arial"/>
          <w:b/>
          <w:color w:val="002060"/>
        </w:rPr>
      </w:pPr>
      <w:proofErr w:type="gramStart"/>
      <w:r w:rsidRPr="002B30D8">
        <w:rPr>
          <w:rFonts w:ascii="Arial" w:hAnsi="Arial" w:cs="Arial"/>
          <w:b/>
          <w:color w:val="002060"/>
        </w:rPr>
        <w:t>Contd..</w:t>
      </w:r>
      <w:proofErr w:type="gramEnd"/>
      <w:r w:rsidRPr="002B30D8">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2B30D8" w:rsidRPr="002B30D8" w14:paraId="3E158738" w14:textId="77777777" w:rsidTr="00E65521">
        <w:tc>
          <w:tcPr>
            <w:tcW w:w="2880" w:type="dxa"/>
          </w:tcPr>
          <w:p w14:paraId="6AAAC64C" w14:textId="77777777" w:rsidR="008502BD" w:rsidRPr="002B30D8" w:rsidRDefault="008502BD" w:rsidP="00E65521">
            <w:pPr>
              <w:rPr>
                <w:rFonts w:ascii="Arial" w:hAnsi="Arial" w:cs="Arial"/>
                <w:color w:val="002060"/>
              </w:rPr>
            </w:pPr>
          </w:p>
          <w:p w14:paraId="34863963" w14:textId="77777777" w:rsidR="008502BD" w:rsidRPr="002B30D8" w:rsidRDefault="008502BD" w:rsidP="00E65521">
            <w:pPr>
              <w:rPr>
                <w:rFonts w:ascii="Arial" w:hAnsi="Arial" w:cs="Arial"/>
                <w:b/>
                <w:color w:val="002060"/>
              </w:rPr>
            </w:pPr>
            <w:r w:rsidRPr="002B30D8">
              <w:rPr>
                <w:rFonts w:ascii="Arial" w:hAnsi="Arial" w:cs="Arial"/>
                <w:b/>
                <w:color w:val="002060"/>
              </w:rPr>
              <w:t xml:space="preserve">FLEXIBLE WORKING </w:t>
            </w:r>
          </w:p>
        </w:tc>
        <w:tc>
          <w:tcPr>
            <w:tcW w:w="7200" w:type="dxa"/>
          </w:tcPr>
          <w:p w14:paraId="1C545466" w14:textId="77777777" w:rsidR="008502BD" w:rsidRPr="002B30D8" w:rsidRDefault="008502BD" w:rsidP="00E65521">
            <w:pPr>
              <w:rPr>
                <w:rFonts w:ascii="Arial" w:hAnsi="Arial" w:cs="Arial"/>
                <w:color w:val="002060"/>
              </w:rPr>
            </w:pPr>
          </w:p>
          <w:p w14:paraId="6A3680D4" w14:textId="77777777" w:rsidR="008502BD" w:rsidRPr="002B30D8" w:rsidRDefault="008502BD" w:rsidP="00E65521">
            <w:pPr>
              <w:jc w:val="both"/>
              <w:rPr>
                <w:rFonts w:ascii="Arial" w:hAnsi="Arial" w:cs="Arial"/>
                <w:color w:val="002060"/>
              </w:rPr>
            </w:pPr>
            <w:r w:rsidRPr="002B30D8">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2B30D8" w:rsidRDefault="008502BD" w:rsidP="00E65521">
            <w:pPr>
              <w:rPr>
                <w:rFonts w:ascii="Arial" w:hAnsi="Arial" w:cs="Arial"/>
                <w:color w:val="002060"/>
              </w:rPr>
            </w:pPr>
          </w:p>
        </w:tc>
      </w:tr>
      <w:tr w:rsidR="002B30D8" w:rsidRPr="002B30D8" w14:paraId="1C0CC4EE" w14:textId="77777777" w:rsidTr="00E65521">
        <w:tc>
          <w:tcPr>
            <w:tcW w:w="2880" w:type="dxa"/>
          </w:tcPr>
          <w:p w14:paraId="5AF13F11" w14:textId="77777777" w:rsidR="008502BD" w:rsidRPr="002B30D8" w:rsidRDefault="008502BD" w:rsidP="00E65521">
            <w:pPr>
              <w:rPr>
                <w:rFonts w:ascii="Arial" w:hAnsi="Arial" w:cs="Arial"/>
                <w:color w:val="002060"/>
              </w:rPr>
            </w:pPr>
          </w:p>
          <w:p w14:paraId="740D5334" w14:textId="77777777" w:rsidR="008502BD" w:rsidRPr="002B30D8" w:rsidRDefault="008502BD" w:rsidP="00E65521">
            <w:pPr>
              <w:rPr>
                <w:rFonts w:ascii="Arial" w:hAnsi="Arial" w:cs="Arial"/>
                <w:b/>
                <w:color w:val="002060"/>
              </w:rPr>
            </w:pPr>
            <w:r w:rsidRPr="002B30D8">
              <w:rPr>
                <w:rFonts w:ascii="Arial" w:hAnsi="Arial" w:cs="Arial"/>
                <w:b/>
                <w:color w:val="002060"/>
              </w:rPr>
              <w:t>EQUAL OPPORTUNITIES</w:t>
            </w:r>
          </w:p>
        </w:tc>
        <w:tc>
          <w:tcPr>
            <w:tcW w:w="7200" w:type="dxa"/>
          </w:tcPr>
          <w:p w14:paraId="3E3DDE89" w14:textId="77777777" w:rsidR="008502BD" w:rsidRPr="002B30D8" w:rsidRDefault="008502BD" w:rsidP="00E65521">
            <w:pPr>
              <w:rPr>
                <w:rFonts w:ascii="Arial" w:hAnsi="Arial" w:cs="Arial"/>
                <w:color w:val="002060"/>
              </w:rPr>
            </w:pPr>
          </w:p>
          <w:p w14:paraId="668F164B" w14:textId="77777777" w:rsidR="008502BD" w:rsidRPr="002B30D8" w:rsidRDefault="008502BD" w:rsidP="00E65521">
            <w:pPr>
              <w:rPr>
                <w:rFonts w:ascii="Arial" w:hAnsi="Arial" w:cs="Arial"/>
                <w:color w:val="002060"/>
              </w:rPr>
            </w:pPr>
            <w:r w:rsidRPr="002B30D8">
              <w:rPr>
                <w:rFonts w:ascii="Arial" w:hAnsi="Arial" w:cs="Arial"/>
                <w:color w:val="002060"/>
              </w:rPr>
              <w:t>The postholder will undertake their duties in strict accordance with NHS Greater Glasgow and Clyde’s Equal Opportunities Policy.</w:t>
            </w:r>
          </w:p>
          <w:p w14:paraId="1A572400" w14:textId="77777777" w:rsidR="008502BD" w:rsidRPr="002B30D8" w:rsidRDefault="008502BD" w:rsidP="00E65521">
            <w:pPr>
              <w:rPr>
                <w:rFonts w:ascii="Arial" w:hAnsi="Arial" w:cs="Arial"/>
                <w:color w:val="002060"/>
              </w:rPr>
            </w:pPr>
          </w:p>
        </w:tc>
      </w:tr>
      <w:tr w:rsidR="002B30D8" w:rsidRPr="002B30D8" w14:paraId="4CC61DE8" w14:textId="77777777" w:rsidTr="00E65521">
        <w:tc>
          <w:tcPr>
            <w:tcW w:w="2880" w:type="dxa"/>
          </w:tcPr>
          <w:p w14:paraId="30EBA964" w14:textId="77777777" w:rsidR="008502BD" w:rsidRPr="002B30D8" w:rsidRDefault="008502BD" w:rsidP="00E65521">
            <w:pPr>
              <w:rPr>
                <w:rFonts w:ascii="Arial" w:hAnsi="Arial" w:cs="Arial"/>
                <w:color w:val="002060"/>
              </w:rPr>
            </w:pPr>
          </w:p>
          <w:p w14:paraId="5BCE2D61" w14:textId="77777777" w:rsidR="008502BD" w:rsidRPr="002B30D8" w:rsidRDefault="008502BD" w:rsidP="00E65521">
            <w:pPr>
              <w:rPr>
                <w:rFonts w:ascii="Arial" w:hAnsi="Arial" w:cs="Arial"/>
                <w:b/>
                <w:color w:val="002060"/>
              </w:rPr>
            </w:pPr>
            <w:r w:rsidRPr="002B30D8">
              <w:rPr>
                <w:rFonts w:ascii="Arial" w:hAnsi="Arial" w:cs="Arial"/>
                <w:b/>
                <w:color w:val="002060"/>
              </w:rPr>
              <w:t>NOTICE</w:t>
            </w:r>
          </w:p>
        </w:tc>
        <w:tc>
          <w:tcPr>
            <w:tcW w:w="7200" w:type="dxa"/>
          </w:tcPr>
          <w:p w14:paraId="0FAFCA18" w14:textId="77777777" w:rsidR="008502BD" w:rsidRPr="002B30D8" w:rsidRDefault="008502BD" w:rsidP="00E65521">
            <w:pPr>
              <w:rPr>
                <w:rFonts w:ascii="Arial" w:hAnsi="Arial" w:cs="Arial"/>
                <w:color w:val="002060"/>
              </w:rPr>
            </w:pPr>
          </w:p>
          <w:p w14:paraId="65E8A4C0" w14:textId="67134197" w:rsidR="008502BD" w:rsidRPr="002B30D8" w:rsidRDefault="008502BD" w:rsidP="00855109">
            <w:pPr>
              <w:jc w:val="both"/>
              <w:rPr>
                <w:rFonts w:ascii="Arial" w:hAnsi="Arial" w:cs="Arial"/>
                <w:color w:val="002060"/>
              </w:rPr>
            </w:pPr>
            <w:r w:rsidRPr="002B30D8">
              <w:rPr>
                <w:rFonts w:ascii="Arial" w:hAnsi="Arial" w:cs="Arial"/>
                <w:b/>
                <w:color w:val="002060"/>
              </w:rPr>
              <w:t xml:space="preserve">The employment is subject to </w:t>
            </w:r>
            <w:r w:rsidR="002B30D8" w:rsidRPr="002B30D8">
              <w:rPr>
                <w:rFonts w:ascii="Arial" w:hAnsi="Arial" w:cs="Arial"/>
                <w:b/>
                <w:color w:val="002060"/>
              </w:rPr>
              <w:t xml:space="preserve">1 </w:t>
            </w:r>
            <w:r w:rsidRPr="002B30D8">
              <w:rPr>
                <w:rFonts w:ascii="Arial" w:hAnsi="Arial" w:cs="Arial"/>
                <w:b/>
                <w:color w:val="002060"/>
              </w:rPr>
              <w:t>months’ notice on either side, subject to appeal against dismissal.</w:t>
            </w:r>
          </w:p>
          <w:p w14:paraId="29055622" w14:textId="77777777" w:rsidR="00855109" w:rsidRPr="002B30D8" w:rsidRDefault="00855109" w:rsidP="00855109">
            <w:pPr>
              <w:jc w:val="both"/>
              <w:rPr>
                <w:rFonts w:ascii="Arial" w:hAnsi="Arial" w:cs="Arial"/>
                <w:color w:val="002060"/>
              </w:rPr>
            </w:pPr>
          </w:p>
        </w:tc>
      </w:tr>
      <w:tr w:rsidR="002B30D8" w:rsidRPr="002B30D8" w14:paraId="7803677D" w14:textId="77777777" w:rsidTr="00E65521">
        <w:tc>
          <w:tcPr>
            <w:tcW w:w="2880" w:type="dxa"/>
          </w:tcPr>
          <w:p w14:paraId="67763907" w14:textId="77777777" w:rsidR="008502BD" w:rsidRPr="002B30D8" w:rsidRDefault="008502BD" w:rsidP="00E65521">
            <w:pPr>
              <w:rPr>
                <w:rFonts w:ascii="Arial" w:hAnsi="Arial" w:cs="Arial"/>
                <w:b/>
                <w:color w:val="002060"/>
              </w:rPr>
            </w:pPr>
          </w:p>
          <w:p w14:paraId="3D76A306" w14:textId="77777777" w:rsidR="008502BD" w:rsidRPr="002B30D8" w:rsidRDefault="008502BD" w:rsidP="00E65521">
            <w:pPr>
              <w:rPr>
                <w:rFonts w:ascii="Arial" w:hAnsi="Arial" w:cs="Arial"/>
                <w:color w:val="002060"/>
              </w:rPr>
            </w:pPr>
            <w:r w:rsidRPr="002B30D8">
              <w:rPr>
                <w:rFonts w:ascii="Arial" w:hAnsi="Arial" w:cs="Arial"/>
                <w:b/>
                <w:color w:val="002060"/>
              </w:rPr>
              <w:t>MEDICAL NEGLIGENCE</w:t>
            </w:r>
          </w:p>
        </w:tc>
        <w:tc>
          <w:tcPr>
            <w:tcW w:w="7200" w:type="dxa"/>
          </w:tcPr>
          <w:p w14:paraId="0B590316" w14:textId="77777777" w:rsidR="008502BD" w:rsidRPr="002B30D8" w:rsidRDefault="008502BD" w:rsidP="00E65521">
            <w:pPr>
              <w:rPr>
                <w:rFonts w:ascii="Arial" w:hAnsi="Arial" w:cs="Arial"/>
                <w:color w:val="002060"/>
              </w:rPr>
            </w:pPr>
          </w:p>
          <w:p w14:paraId="70D817AA" w14:textId="77777777" w:rsidR="008502BD" w:rsidRPr="002B30D8" w:rsidRDefault="008502BD" w:rsidP="00E65521">
            <w:pPr>
              <w:jc w:val="both"/>
              <w:rPr>
                <w:rFonts w:ascii="Arial" w:hAnsi="Arial" w:cs="Arial"/>
                <w:color w:val="002060"/>
              </w:rPr>
            </w:pPr>
            <w:r w:rsidRPr="002B30D8">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2B30D8" w:rsidRDefault="008502BD" w:rsidP="00E65521">
            <w:pPr>
              <w:rPr>
                <w:rFonts w:ascii="Arial" w:hAnsi="Arial" w:cs="Arial"/>
                <w:color w:val="002060"/>
              </w:rPr>
            </w:pPr>
          </w:p>
        </w:tc>
      </w:tr>
    </w:tbl>
    <w:p w14:paraId="35A62EEE" w14:textId="77777777" w:rsidR="008502BD" w:rsidRPr="002B30D8" w:rsidRDefault="00E30E13" w:rsidP="00067415">
      <w:pPr>
        <w:kinsoku w:val="0"/>
        <w:overflowPunct w:val="0"/>
        <w:jc w:val="both"/>
        <w:rPr>
          <w:rFonts w:ascii="Arial" w:hAnsi="Arial" w:cs="Arial"/>
          <w:b/>
          <w:color w:val="002060"/>
          <w:sz w:val="20"/>
          <w:szCs w:val="20"/>
        </w:rPr>
      </w:pPr>
      <w:r w:rsidRPr="002B30D8">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B30D8">
        <w:rPr>
          <w:rFonts w:ascii="Arial" w:hAnsi="Arial" w:cs="Arial"/>
          <w:b/>
          <w:color w:val="002060"/>
          <w:sz w:val="20"/>
          <w:szCs w:val="20"/>
        </w:rPr>
        <w:br w:type="page"/>
      </w:r>
    </w:p>
    <w:p w14:paraId="43633880" w14:textId="60392537" w:rsidR="008502BD" w:rsidRPr="002B30D8" w:rsidRDefault="00312CB8" w:rsidP="00067415">
      <w:pPr>
        <w:kinsoku w:val="0"/>
        <w:overflowPunct w:val="0"/>
        <w:jc w:val="both"/>
        <w:rPr>
          <w:rFonts w:ascii="Arial" w:hAnsi="Arial" w:cs="Arial"/>
          <w:b/>
          <w:bCs/>
          <w:color w:val="002060"/>
          <w:sz w:val="32"/>
          <w:szCs w:val="32"/>
        </w:rPr>
      </w:pPr>
      <w:r w:rsidRPr="002B30D8">
        <w:rPr>
          <w:rFonts w:ascii="Arial" w:hAnsi="Arial" w:cs="Arial"/>
          <w:b/>
          <w:bCs/>
          <w:color w:val="002060"/>
          <w:sz w:val="32"/>
          <w:szCs w:val="32"/>
        </w:rPr>
        <w:lastRenderedPageBreak/>
        <w:t xml:space="preserve">Section </w:t>
      </w:r>
      <w:r w:rsidR="002B30D8" w:rsidRPr="002B30D8">
        <w:rPr>
          <w:rFonts w:ascii="Arial" w:hAnsi="Arial" w:cs="Arial"/>
          <w:b/>
          <w:bCs/>
          <w:color w:val="002060"/>
          <w:sz w:val="32"/>
          <w:szCs w:val="32"/>
        </w:rPr>
        <w:t>5</w:t>
      </w:r>
      <w:r w:rsidR="008502BD" w:rsidRPr="002B30D8">
        <w:rPr>
          <w:rFonts w:ascii="Arial" w:hAnsi="Arial" w:cs="Arial"/>
          <w:b/>
          <w:bCs/>
          <w:color w:val="002060"/>
          <w:sz w:val="32"/>
          <w:szCs w:val="32"/>
        </w:rPr>
        <w:t>:</w:t>
      </w:r>
      <w:r w:rsidR="008502BD" w:rsidRPr="002B30D8">
        <w:rPr>
          <w:rFonts w:ascii="Arial" w:hAnsi="Arial" w:cs="Arial"/>
          <w:b/>
          <w:bCs/>
          <w:color w:val="002060"/>
          <w:sz w:val="32"/>
          <w:szCs w:val="32"/>
        </w:rPr>
        <w:tab/>
      </w:r>
    </w:p>
    <w:p w14:paraId="507B70BF" w14:textId="77777777" w:rsidR="008502BD" w:rsidRPr="002B30D8" w:rsidRDefault="008502BD" w:rsidP="00067415">
      <w:pPr>
        <w:kinsoku w:val="0"/>
        <w:overflowPunct w:val="0"/>
        <w:jc w:val="both"/>
        <w:rPr>
          <w:rFonts w:ascii="Arial" w:hAnsi="Arial" w:cs="Arial"/>
          <w:b/>
          <w:bCs/>
          <w:color w:val="002060"/>
          <w:sz w:val="32"/>
        </w:rPr>
      </w:pPr>
      <w:r w:rsidRPr="002B30D8">
        <w:rPr>
          <w:rFonts w:ascii="Arial" w:hAnsi="Arial" w:cs="Arial"/>
          <w:b/>
          <w:bCs/>
          <w:color w:val="002060"/>
          <w:sz w:val="32"/>
          <w:szCs w:val="32"/>
        </w:rPr>
        <w:t>Making your Application</w:t>
      </w:r>
    </w:p>
    <w:p w14:paraId="2AA13EF5" w14:textId="77777777" w:rsidR="008502BD" w:rsidRPr="002B30D8" w:rsidRDefault="008502BD" w:rsidP="00067415">
      <w:pPr>
        <w:jc w:val="both"/>
        <w:rPr>
          <w:rFonts w:ascii="Arial" w:hAnsi="Arial" w:cs="Arial"/>
          <w:iCs/>
          <w:color w:val="002060"/>
        </w:rPr>
      </w:pPr>
    </w:p>
    <w:p w14:paraId="06F9023E" w14:textId="77777777" w:rsidR="008502BD" w:rsidRPr="002B30D8" w:rsidRDefault="008502BD" w:rsidP="00067415">
      <w:pPr>
        <w:jc w:val="both"/>
        <w:rPr>
          <w:rStyle w:val="Emphasis"/>
          <w:rFonts w:ascii="Arial" w:hAnsi="Arial" w:cs="Arial"/>
          <w:i w:val="0"/>
          <w:color w:val="002060"/>
        </w:rPr>
      </w:pPr>
      <w:r w:rsidRPr="002B30D8">
        <w:rPr>
          <w:rFonts w:ascii="Arial" w:hAnsi="Arial" w:cs="Arial"/>
          <w:iCs/>
          <w:color w:val="002060"/>
        </w:rPr>
        <w:t>From the 3</w:t>
      </w:r>
      <w:r w:rsidRPr="002B30D8">
        <w:rPr>
          <w:rFonts w:ascii="Arial" w:hAnsi="Arial" w:cs="Arial"/>
          <w:iCs/>
          <w:color w:val="002060"/>
          <w:vertAlign w:val="superscript"/>
        </w:rPr>
        <w:t>rd</w:t>
      </w:r>
      <w:r w:rsidRPr="002B30D8">
        <w:rPr>
          <w:rFonts w:ascii="Arial" w:hAnsi="Arial" w:cs="Arial"/>
          <w:iCs/>
          <w:color w:val="002060"/>
        </w:rPr>
        <w:t xml:space="preserve"> of June 2019 candidate applications for Medical and Dental posts within NHS Greater Glasgow and Clyde (NHSGGC) will only be accepted via the c</w:t>
      </w:r>
      <w:r w:rsidRPr="002B30D8">
        <w:rPr>
          <w:rFonts w:ascii="Arial" w:hAnsi="Arial" w:cs="Arial"/>
          <w:color w:val="002060"/>
        </w:rPr>
        <w:t xml:space="preserve">ompletion of an online application form. </w:t>
      </w:r>
      <w:r w:rsidRPr="002B30D8">
        <w:rPr>
          <w:rStyle w:val="Emphasis"/>
          <w:rFonts w:ascii="Arial" w:hAnsi="Arial" w:cs="Arial"/>
          <w:i w:val="0"/>
          <w:color w:val="002060"/>
        </w:rPr>
        <w:t xml:space="preserve">NHSGGC utilise a third party recruitment system called </w:t>
      </w:r>
      <w:proofErr w:type="spellStart"/>
      <w:r w:rsidRPr="002B30D8">
        <w:rPr>
          <w:rStyle w:val="Emphasis"/>
          <w:rFonts w:ascii="Arial" w:hAnsi="Arial" w:cs="Arial"/>
          <w:i w:val="0"/>
          <w:color w:val="002060"/>
        </w:rPr>
        <w:t>JobTrain</w:t>
      </w:r>
      <w:proofErr w:type="spellEnd"/>
      <w:r w:rsidRPr="002B30D8">
        <w:rPr>
          <w:rStyle w:val="Emphasis"/>
          <w:rFonts w:ascii="Arial" w:hAnsi="Arial" w:cs="Arial"/>
          <w:i w:val="0"/>
          <w:color w:val="002060"/>
        </w:rPr>
        <w:t xml:space="preserve"> and when you complete and submit the online application form your submitted application will be imported into </w:t>
      </w:r>
      <w:proofErr w:type="spellStart"/>
      <w:r w:rsidRPr="002B30D8">
        <w:rPr>
          <w:rStyle w:val="Emphasis"/>
          <w:rFonts w:ascii="Arial" w:hAnsi="Arial" w:cs="Arial"/>
          <w:i w:val="0"/>
          <w:color w:val="002060"/>
        </w:rPr>
        <w:t>JobTrain</w:t>
      </w:r>
      <w:proofErr w:type="spellEnd"/>
      <w:r w:rsidRPr="002B30D8">
        <w:rPr>
          <w:rStyle w:val="Emphasis"/>
          <w:rFonts w:ascii="Arial" w:hAnsi="Arial" w:cs="Arial"/>
          <w:i w:val="0"/>
          <w:color w:val="002060"/>
        </w:rPr>
        <w:t xml:space="preserve"> and any emails will be sent via the </w:t>
      </w:r>
      <w:proofErr w:type="spellStart"/>
      <w:r w:rsidRPr="002B30D8">
        <w:rPr>
          <w:rStyle w:val="Emphasis"/>
          <w:rFonts w:ascii="Arial" w:hAnsi="Arial" w:cs="Arial"/>
          <w:i w:val="0"/>
          <w:color w:val="002060"/>
        </w:rPr>
        <w:t>JobTrain</w:t>
      </w:r>
      <w:proofErr w:type="spellEnd"/>
      <w:r w:rsidRPr="002B30D8">
        <w:rPr>
          <w:rStyle w:val="Emphasis"/>
          <w:rFonts w:ascii="Arial" w:hAnsi="Arial" w:cs="Arial"/>
          <w:i w:val="0"/>
          <w:color w:val="002060"/>
        </w:rPr>
        <w:t xml:space="preserve"> Recruitment System. </w:t>
      </w:r>
    </w:p>
    <w:p w14:paraId="19D7B1B5" w14:textId="77777777" w:rsidR="008502BD" w:rsidRPr="002B30D8" w:rsidRDefault="008502BD" w:rsidP="00067415">
      <w:pPr>
        <w:jc w:val="both"/>
        <w:rPr>
          <w:rFonts w:ascii="Arial" w:hAnsi="Arial" w:cs="Arial"/>
          <w:color w:val="002060"/>
        </w:rPr>
      </w:pPr>
    </w:p>
    <w:p w14:paraId="02C9348A" w14:textId="0B559C87" w:rsidR="008502BD" w:rsidRPr="002B30D8" w:rsidRDefault="00E30E13" w:rsidP="00067415">
      <w:pPr>
        <w:pStyle w:val="BodyText"/>
        <w:spacing w:after="0" w:line="240" w:lineRule="auto"/>
        <w:ind w:right="-6"/>
        <w:jc w:val="both"/>
        <w:rPr>
          <w:rFonts w:ascii="Arial" w:hAnsi="Arial" w:cs="Arial"/>
          <w:color w:val="002060"/>
          <w:sz w:val="24"/>
          <w:szCs w:val="24"/>
        </w:rPr>
      </w:pPr>
      <w:r w:rsidRPr="002B30D8">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B30D8">
        <w:rPr>
          <w:rFonts w:ascii="Arial" w:hAnsi="Arial" w:cs="Arial"/>
          <w:color w:val="002060"/>
          <w:sz w:val="24"/>
          <w:szCs w:val="24"/>
        </w:rPr>
        <w:t xml:space="preserve">If this is the first time you have applied for an NHSGGC vacancy via our </w:t>
      </w:r>
      <w:proofErr w:type="spellStart"/>
      <w:r w:rsidR="008502BD" w:rsidRPr="002B30D8">
        <w:rPr>
          <w:rFonts w:ascii="Arial" w:hAnsi="Arial" w:cs="Arial"/>
          <w:color w:val="002060"/>
          <w:sz w:val="24"/>
          <w:szCs w:val="24"/>
        </w:rPr>
        <w:t>eRecruitment</w:t>
      </w:r>
      <w:proofErr w:type="spellEnd"/>
      <w:r w:rsidR="008502BD" w:rsidRPr="002B30D8">
        <w:rPr>
          <w:rFonts w:ascii="Arial" w:hAnsi="Arial" w:cs="Arial"/>
          <w:color w:val="002060"/>
          <w:sz w:val="24"/>
          <w:szCs w:val="24"/>
        </w:rPr>
        <w:t xml:space="preserve"> system (</w:t>
      </w:r>
      <w:proofErr w:type="spellStart"/>
      <w:r w:rsidR="008502BD" w:rsidRPr="002B30D8">
        <w:rPr>
          <w:rFonts w:ascii="Arial" w:hAnsi="Arial" w:cs="Arial"/>
          <w:color w:val="002060"/>
          <w:sz w:val="24"/>
          <w:szCs w:val="24"/>
        </w:rPr>
        <w:t>JobTrain</w:t>
      </w:r>
      <w:proofErr w:type="spellEnd"/>
      <w:r w:rsidR="008502BD" w:rsidRPr="002B30D8">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2B30D8">
        <w:rPr>
          <w:rFonts w:ascii="Arial" w:hAnsi="Arial" w:cs="Arial"/>
          <w:color w:val="002060"/>
          <w:sz w:val="24"/>
          <w:szCs w:val="24"/>
        </w:rPr>
        <w:t>eRecruitment</w:t>
      </w:r>
      <w:proofErr w:type="spellEnd"/>
      <w:r w:rsidR="008502BD" w:rsidRPr="002B30D8">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2B30D8"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2B30D8" w:rsidRDefault="008502BD" w:rsidP="00067415">
      <w:pPr>
        <w:pStyle w:val="BodyText"/>
        <w:spacing w:after="0" w:line="240" w:lineRule="auto"/>
        <w:ind w:right="-6"/>
        <w:jc w:val="both"/>
        <w:rPr>
          <w:rFonts w:ascii="Arial" w:hAnsi="Arial" w:cs="Arial"/>
          <w:color w:val="002060"/>
          <w:sz w:val="24"/>
          <w:szCs w:val="24"/>
        </w:rPr>
      </w:pPr>
      <w:r w:rsidRPr="002B30D8">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2B30D8" w:rsidRDefault="008502BD" w:rsidP="00067415">
      <w:pPr>
        <w:pStyle w:val="BodyText"/>
        <w:spacing w:after="0" w:line="240" w:lineRule="auto"/>
        <w:ind w:right="-6"/>
        <w:jc w:val="both"/>
        <w:rPr>
          <w:rFonts w:ascii="Arial" w:hAnsi="Arial" w:cs="Arial"/>
          <w:color w:val="002060"/>
          <w:sz w:val="24"/>
          <w:szCs w:val="24"/>
        </w:rPr>
      </w:pPr>
      <w:r w:rsidRPr="002B30D8">
        <w:rPr>
          <w:rFonts w:ascii="Arial" w:hAnsi="Arial" w:cs="Arial"/>
          <w:color w:val="002060"/>
          <w:sz w:val="24"/>
          <w:szCs w:val="24"/>
        </w:rPr>
        <w:t xml:space="preserve"> </w:t>
      </w:r>
    </w:p>
    <w:p w14:paraId="0718B11C" w14:textId="77777777" w:rsidR="008502BD" w:rsidRPr="002B30D8" w:rsidRDefault="008502BD" w:rsidP="00067415">
      <w:pPr>
        <w:pStyle w:val="BodyText"/>
        <w:spacing w:after="0" w:line="240" w:lineRule="auto"/>
        <w:ind w:right="-6"/>
        <w:jc w:val="both"/>
        <w:rPr>
          <w:rFonts w:ascii="Arial" w:hAnsi="Arial" w:cs="Arial"/>
          <w:color w:val="002060"/>
          <w:sz w:val="24"/>
          <w:szCs w:val="24"/>
        </w:rPr>
      </w:pPr>
      <w:r w:rsidRPr="002B30D8">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2B30D8"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2B30D8" w:rsidRDefault="008502BD" w:rsidP="00067415">
      <w:pPr>
        <w:rPr>
          <w:rFonts w:ascii="Arial" w:hAnsi="Arial" w:cs="Arial"/>
          <w:color w:val="002060"/>
        </w:rPr>
      </w:pPr>
      <w:r w:rsidRPr="002B30D8">
        <w:rPr>
          <w:rFonts w:ascii="Arial" w:hAnsi="Arial" w:cs="Arial"/>
          <w:color w:val="002060"/>
        </w:rPr>
        <w:t xml:space="preserve">NHS GGC is unable to accept written applications; all applications must be submitted via </w:t>
      </w:r>
      <w:proofErr w:type="spellStart"/>
      <w:r w:rsidRPr="002B30D8">
        <w:rPr>
          <w:rFonts w:ascii="Arial" w:hAnsi="Arial" w:cs="Arial"/>
          <w:color w:val="002060"/>
        </w:rPr>
        <w:t>eRecruitment</w:t>
      </w:r>
      <w:proofErr w:type="spellEnd"/>
      <w:r w:rsidRPr="002B30D8">
        <w:rPr>
          <w:rFonts w:ascii="Arial" w:hAnsi="Arial" w:cs="Arial"/>
          <w:color w:val="002060"/>
        </w:rPr>
        <w:t xml:space="preserve"> system, </w:t>
      </w:r>
      <w:proofErr w:type="spellStart"/>
      <w:r w:rsidRPr="002B30D8">
        <w:rPr>
          <w:rFonts w:ascii="Arial" w:hAnsi="Arial" w:cs="Arial"/>
          <w:color w:val="002060"/>
        </w:rPr>
        <w:t>JobTrain</w:t>
      </w:r>
      <w:proofErr w:type="spellEnd"/>
      <w:r w:rsidRPr="002B30D8">
        <w:rPr>
          <w:rFonts w:ascii="Arial" w:hAnsi="Arial" w:cs="Arial"/>
          <w:color w:val="002060"/>
        </w:rPr>
        <w:t xml:space="preserve">. Please visit </w:t>
      </w:r>
      <w:hyperlink r:id="rId31" w:history="1">
        <w:r w:rsidRPr="002B30D8">
          <w:rPr>
            <w:rStyle w:val="Hyperlink"/>
            <w:rFonts w:ascii="Arial" w:hAnsi="Arial" w:cs="Arial"/>
            <w:b/>
            <w:color w:val="002060"/>
          </w:rPr>
          <w:t>https://apply.jobs.scot.nhs.uk</w:t>
        </w:r>
      </w:hyperlink>
    </w:p>
    <w:p w14:paraId="28498343" w14:textId="77777777" w:rsidR="008502BD" w:rsidRPr="002B30D8" w:rsidRDefault="008502BD" w:rsidP="00067415">
      <w:pPr>
        <w:rPr>
          <w:rFonts w:ascii="Arial" w:hAnsi="Arial" w:cs="Arial"/>
          <w:b/>
          <w:color w:val="002060"/>
          <w:u w:val="single"/>
        </w:rPr>
      </w:pPr>
    </w:p>
    <w:p w14:paraId="273D6B4C" w14:textId="77777777" w:rsidR="008502BD" w:rsidRPr="002B30D8" w:rsidRDefault="008502BD" w:rsidP="00067415">
      <w:pPr>
        <w:rPr>
          <w:rFonts w:ascii="Arial" w:hAnsi="Arial" w:cs="Arial"/>
          <w:b/>
          <w:color w:val="002060"/>
          <w:u w:val="single"/>
        </w:rPr>
      </w:pPr>
      <w:r w:rsidRPr="002B30D8">
        <w:rPr>
          <w:rFonts w:ascii="Arial" w:hAnsi="Arial" w:cs="Arial"/>
          <w:b/>
          <w:color w:val="002060"/>
          <w:u w:val="single"/>
        </w:rPr>
        <w:t xml:space="preserve">Contact Us </w:t>
      </w:r>
    </w:p>
    <w:p w14:paraId="7A4A00CC" w14:textId="77777777" w:rsidR="008502BD" w:rsidRPr="002B30D8" w:rsidRDefault="008502BD" w:rsidP="00067415">
      <w:pPr>
        <w:rPr>
          <w:rFonts w:ascii="Arial" w:hAnsi="Arial" w:cs="Arial"/>
          <w:b/>
          <w:color w:val="002060"/>
          <w:u w:val="single"/>
        </w:rPr>
      </w:pPr>
    </w:p>
    <w:p w14:paraId="040D892D" w14:textId="77777777" w:rsidR="008502BD" w:rsidRPr="002B30D8" w:rsidRDefault="008502BD" w:rsidP="00067415">
      <w:pPr>
        <w:jc w:val="both"/>
        <w:rPr>
          <w:rFonts w:ascii="Arial" w:hAnsi="Arial" w:cs="Arial"/>
          <w:color w:val="002060"/>
        </w:rPr>
      </w:pPr>
      <w:r w:rsidRPr="002B30D8">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2B30D8" w:rsidRDefault="008502BD" w:rsidP="00067415">
      <w:pPr>
        <w:rPr>
          <w:rFonts w:ascii="Arial" w:hAnsi="Arial" w:cs="Arial"/>
          <w:color w:val="002060"/>
        </w:rPr>
      </w:pPr>
      <w:r w:rsidRPr="002B30D8">
        <w:rPr>
          <w:rFonts w:ascii="Arial" w:hAnsi="Arial" w:cs="Arial"/>
          <w:color w:val="002060"/>
        </w:rPr>
        <w:t xml:space="preserve">    </w:t>
      </w:r>
    </w:p>
    <w:p w14:paraId="35A5E6E6" w14:textId="77777777" w:rsidR="008502BD" w:rsidRPr="002B30D8" w:rsidRDefault="008502BD" w:rsidP="00067415">
      <w:pPr>
        <w:pStyle w:val="Default"/>
        <w:rPr>
          <w:color w:val="002060"/>
        </w:rPr>
      </w:pPr>
      <w:r w:rsidRPr="002B30D8">
        <w:rPr>
          <w:color w:val="002060"/>
        </w:rPr>
        <w:t xml:space="preserve">                            Tel: +44 (0)141 278 2700 and select Option 1 </w:t>
      </w:r>
    </w:p>
    <w:p w14:paraId="3897C851" w14:textId="77777777" w:rsidR="008502BD" w:rsidRPr="002B30D8" w:rsidRDefault="008502BD" w:rsidP="00067415">
      <w:pPr>
        <w:pStyle w:val="Default"/>
        <w:rPr>
          <w:color w:val="002060"/>
        </w:rPr>
      </w:pPr>
      <w:r w:rsidRPr="002B30D8">
        <w:rPr>
          <w:color w:val="002060"/>
        </w:rPr>
        <w:t xml:space="preserve">                              Email: </w:t>
      </w:r>
      <w:proofErr w:type="spellStart"/>
      <w:r w:rsidRPr="002B30D8">
        <w:rPr>
          <w:color w:val="002060"/>
          <w:u w:val="single"/>
        </w:rPr>
        <w:t>nhsggc</w:t>
      </w:r>
      <w:r w:rsidR="00837605" w:rsidRPr="002B30D8">
        <w:rPr>
          <w:color w:val="002060"/>
          <w:u w:val="single"/>
        </w:rPr>
        <w:t>.</w:t>
      </w:r>
      <w:r w:rsidRPr="002B30D8">
        <w:rPr>
          <w:color w:val="002060"/>
          <w:u w:val="single"/>
        </w:rPr>
        <w:t>recruitment@nhs.</w:t>
      </w:r>
      <w:r w:rsidR="00837605" w:rsidRPr="002B30D8">
        <w:rPr>
          <w:color w:val="002060"/>
          <w:u w:val="single"/>
        </w:rPr>
        <w:t>scot</w:t>
      </w:r>
      <w:proofErr w:type="spellEnd"/>
    </w:p>
    <w:p w14:paraId="31EC9F32" w14:textId="374FB321" w:rsidR="008502BD" w:rsidRPr="002B30D8" w:rsidRDefault="00D46479" w:rsidP="00067415">
      <w:pPr>
        <w:rPr>
          <w:rFonts w:ascii="Arial" w:hAnsi="Arial" w:cs="Arial"/>
          <w:color w:val="002060"/>
        </w:rPr>
      </w:pPr>
      <w:r w:rsidRPr="002B30D8">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2B30D8" w:rsidRDefault="008502BD" w:rsidP="00067415">
      <w:pPr>
        <w:rPr>
          <w:rFonts w:ascii="Arial" w:hAnsi="Arial" w:cs="Arial"/>
          <w:b/>
          <w:iCs/>
          <w:color w:val="002060"/>
        </w:rPr>
      </w:pPr>
      <w:r w:rsidRPr="002B30D8">
        <w:rPr>
          <w:rFonts w:ascii="Arial" w:hAnsi="Arial" w:cs="Arial"/>
          <w:color w:val="002060"/>
        </w:rPr>
        <w:t xml:space="preserve">Thank you for your interest in NHS Greater Glasgow and Clyde, we look forward to receiving your application. </w:t>
      </w:r>
    </w:p>
    <w:p w14:paraId="7C1A021E" w14:textId="7B6A7702" w:rsidR="008502BD" w:rsidRPr="002B30D8" w:rsidRDefault="00D46479" w:rsidP="00067415">
      <w:pPr>
        <w:rPr>
          <w:rFonts w:ascii="Calibri" w:hAnsi="Calibri"/>
          <w:color w:val="002060"/>
        </w:rPr>
      </w:pPr>
      <w:r w:rsidRPr="002B30D8">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2B30D8" w:rsidRDefault="008502BD" w:rsidP="00067415">
      <w:pPr>
        <w:spacing w:after="200" w:line="276" w:lineRule="auto"/>
        <w:rPr>
          <w:rFonts w:ascii="Arial" w:hAnsi="Arial" w:cs="Arial"/>
          <w:b/>
          <w:iCs/>
          <w:color w:val="002060"/>
        </w:rPr>
      </w:pPr>
    </w:p>
    <w:p w14:paraId="2AA17267" w14:textId="77777777" w:rsidR="008502BD" w:rsidRPr="002B30D8" w:rsidRDefault="008502BD" w:rsidP="00067415">
      <w:pPr>
        <w:spacing w:after="200" w:line="276" w:lineRule="auto"/>
        <w:rPr>
          <w:rFonts w:ascii="Arial" w:hAnsi="Arial" w:cs="Arial"/>
          <w:b/>
          <w:iCs/>
          <w:color w:val="002060"/>
        </w:rPr>
      </w:pPr>
    </w:p>
    <w:p w14:paraId="0EAE9969" w14:textId="77777777" w:rsidR="008502BD" w:rsidRPr="002B30D8" w:rsidRDefault="008502BD" w:rsidP="00067415">
      <w:pPr>
        <w:spacing w:after="200" w:line="276" w:lineRule="auto"/>
        <w:rPr>
          <w:rFonts w:ascii="Arial" w:hAnsi="Arial" w:cs="Arial"/>
          <w:b/>
          <w:iCs/>
          <w:color w:val="002060"/>
        </w:rPr>
      </w:pPr>
    </w:p>
    <w:p w14:paraId="5B400944" w14:textId="77777777" w:rsidR="008502BD" w:rsidRPr="002B30D8" w:rsidRDefault="008502BD" w:rsidP="00067415">
      <w:pPr>
        <w:spacing w:after="200" w:line="276" w:lineRule="auto"/>
        <w:rPr>
          <w:rFonts w:ascii="Arial" w:hAnsi="Arial" w:cs="Arial"/>
          <w:b/>
          <w:iCs/>
          <w:color w:val="002060"/>
        </w:rPr>
      </w:pPr>
    </w:p>
    <w:p w14:paraId="1778DCB1" w14:textId="77777777" w:rsidR="000C537C" w:rsidRPr="002B30D8" w:rsidRDefault="000C537C" w:rsidP="00067415">
      <w:pPr>
        <w:kinsoku w:val="0"/>
        <w:overflowPunct w:val="0"/>
        <w:jc w:val="both"/>
        <w:rPr>
          <w:rFonts w:ascii="Arial" w:hAnsi="Arial" w:cs="Arial"/>
          <w:b/>
          <w:bCs/>
          <w:color w:val="002060"/>
          <w:sz w:val="32"/>
          <w:szCs w:val="32"/>
        </w:rPr>
      </w:pPr>
    </w:p>
    <w:p w14:paraId="16D5191B" w14:textId="77777777" w:rsidR="000C537C" w:rsidRPr="002B30D8" w:rsidRDefault="000C537C" w:rsidP="00067415">
      <w:pPr>
        <w:kinsoku w:val="0"/>
        <w:overflowPunct w:val="0"/>
        <w:jc w:val="both"/>
        <w:rPr>
          <w:rFonts w:ascii="Arial" w:hAnsi="Arial" w:cs="Arial"/>
          <w:b/>
          <w:bCs/>
          <w:color w:val="002060"/>
          <w:sz w:val="32"/>
          <w:szCs w:val="32"/>
        </w:rPr>
      </w:pPr>
    </w:p>
    <w:p w14:paraId="42B0516A" w14:textId="5B04CD00" w:rsidR="008502BD" w:rsidRPr="002B30D8" w:rsidRDefault="00312CB8" w:rsidP="00067415">
      <w:pPr>
        <w:kinsoku w:val="0"/>
        <w:overflowPunct w:val="0"/>
        <w:jc w:val="both"/>
        <w:rPr>
          <w:rFonts w:ascii="Arial" w:hAnsi="Arial" w:cs="Arial"/>
          <w:b/>
          <w:bCs/>
          <w:color w:val="002060"/>
          <w:sz w:val="32"/>
          <w:szCs w:val="32"/>
        </w:rPr>
      </w:pPr>
      <w:r w:rsidRPr="002B30D8">
        <w:rPr>
          <w:rFonts w:ascii="Arial" w:hAnsi="Arial" w:cs="Arial"/>
          <w:b/>
          <w:bCs/>
          <w:color w:val="002060"/>
          <w:sz w:val="32"/>
          <w:szCs w:val="32"/>
        </w:rPr>
        <w:lastRenderedPageBreak/>
        <w:t xml:space="preserve">Section </w:t>
      </w:r>
      <w:r w:rsidR="002B30D8" w:rsidRPr="002B30D8">
        <w:rPr>
          <w:rFonts w:ascii="Arial" w:hAnsi="Arial" w:cs="Arial"/>
          <w:b/>
          <w:bCs/>
          <w:color w:val="002060"/>
          <w:sz w:val="32"/>
          <w:szCs w:val="32"/>
        </w:rPr>
        <w:t>6</w:t>
      </w:r>
      <w:r w:rsidR="008502BD" w:rsidRPr="002B30D8">
        <w:rPr>
          <w:rFonts w:ascii="Arial" w:hAnsi="Arial" w:cs="Arial"/>
          <w:b/>
          <w:bCs/>
          <w:color w:val="002060"/>
          <w:sz w:val="32"/>
          <w:szCs w:val="32"/>
        </w:rPr>
        <w:t>:</w:t>
      </w:r>
      <w:r w:rsidR="008502BD" w:rsidRPr="002B30D8">
        <w:rPr>
          <w:rFonts w:ascii="Arial" w:hAnsi="Arial" w:cs="Arial"/>
          <w:b/>
          <w:bCs/>
          <w:color w:val="002060"/>
          <w:sz w:val="32"/>
          <w:szCs w:val="32"/>
        </w:rPr>
        <w:tab/>
      </w:r>
    </w:p>
    <w:p w14:paraId="013035F0" w14:textId="77777777" w:rsidR="008502BD" w:rsidRPr="002B30D8" w:rsidRDefault="008502BD" w:rsidP="00067415">
      <w:pPr>
        <w:kinsoku w:val="0"/>
        <w:overflowPunct w:val="0"/>
        <w:jc w:val="both"/>
        <w:rPr>
          <w:rFonts w:ascii="Arial" w:hAnsi="Arial" w:cs="Arial"/>
          <w:b/>
          <w:bCs/>
          <w:color w:val="002060"/>
          <w:sz w:val="32"/>
        </w:rPr>
      </w:pPr>
      <w:r w:rsidRPr="002B30D8">
        <w:rPr>
          <w:rFonts w:ascii="Arial" w:hAnsi="Arial" w:cs="Arial"/>
          <w:b/>
          <w:bCs/>
          <w:color w:val="002060"/>
          <w:sz w:val="32"/>
          <w:szCs w:val="32"/>
        </w:rPr>
        <w:t>About NHS Greater Glasgow and Clyde</w:t>
      </w:r>
    </w:p>
    <w:p w14:paraId="3191F747" w14:textId="77777777" w:rsidR="008502BD" w:rsidRPr="002B30D8" w:rsidRDefault="008502BD" w:rsidP="00067415">
      <w:pPr>
        <w:rPr>
          <w:rFonts w:ascii="Arial" w:hAnsi="Arial" w:cs="Arial"/>
          <w:color w:val="002060"/>
        </w:rPr>
      </w:pPr>
    </w:p>
    <w:p w14:paraId="47C83663" w14:textId="2C67C264" w:rsidR="008502BD" w:rsidRPr="002B30D8" w:rsidRDefault="008502BD" w:rsidP="00067415">
      <w:pPr>
        <w:jc w:val="both"/>
        <w:rPr>
          <w:rFonts w:ascii="Arial" w:hAnsi="Arial" w:cs="Arial"/>
          <w:color w:val="002060"/>
        </w:rPr>
      </w:pPr>
      <w:r w:rsidRPr="002B30D8">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2B30D8">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2B30D8" w:rsidRDefault="008502BD" w:rsidP="00067415">
      <w:pPr>
        <w:spacing w:before="300" w:after="300"/>
        <w:jc w:val="both"/>
        <w:rPr>
          <w:rFonts w:ascii="Arial" w:hAnsi="Arial" w:cs="Arial"/>
          <w:color w:val="002060"/>
        </w:rPr>
      </w:pPr>
      <w:r w:rsidRPr="002B30D8">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2B30D8" w:rsidRDefault="008502BD" w:rsidP="00067415">
      <w:pPr>
        <w:pStyle w:val="Heading2"/>
        <w:ind w:left="0"/>
        <w:rPr>
          <w:color w:val="002060"/>
          <w:sz w:val="24"/>
          <w:szCs w:val="24"/>
        </w:rPr>
      </w:pPr>
      <w:r w:rsidRPr="002B30D8">
        <w:rPr>
          <w:color w:val="002060"/>
          <w:sz w:val="24"/>
          <w:szCs w:val="24"/>
        </w:rPr>
        <w:t>Capital Building Modernisation Programme</w:t>
      </w:r>
    </w:p>
    <w:p w14:paraId="2B208EF7" w14:textId="77777777" w:rsidR="008502BD" w:rsidRPr="002B30D8" w:rsidRDefault="008502BD" w:rsidP="00067415">
      <w:pPr>
        <w:pStyle w:val="NormalWeb"/>
        <w:spacing w:after="0"/>
        <w:jc w:val="both"/>
        <w:rPr>
          <w:rFonts w:ascii="Arial" w:hAnsi="Arial" w:cs="Arial"/>
          <w:color w:val="002060"/>
        </w:rPr>
      </w:pPr>
      <w:r w:rsidRPr="002B30D8">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2B30D8" w:rsidRDefault="008502BD" w:rsidP="00067415">
      <w:pPr>
        <w:pStyle w:val="NormalWeb"/>
        <w:spacing w:after="0"/>
        <w:jc w:val="both"/>
        <w:rPr>
          <w:rFonts w:ascii="Arial" w:hAnsi="Arial" w:cs="Arial"/>
          <w:color w:val="002060"/>
        </w:rPr>
      </w:pPr>
    </w:p>
    <w:p w14:paraId="373A7ED4" w14:textId="77777777" w:rsidR="008502BD" w:rsidRPr="002B30D8" w:rsidRDefault="008502BD" w:rsidP="00067415">
      <w:pPr>
        <w:jc w:val="both"/>
        <w:rPr>
          <w:rFonts w:ascii="Arial" w:hAnsi="Arial" w:cs="Arial"/>
          <w:b/>
          <w:bCs/>
          <w:color w:val="002060"/>
        </w:rPr>
      </w:pPr>
      <w:r w:rsidRPr="002B30D8">
        <w:rPr>
          <w:rFonts w:ascii="Arial" w:hAnsi="Arial" w:cs="Arial"/>
          <w:b/>
          <w:bCs/>
          <w:color w:val="002060"/>
        </w:rPr>
        <w:t>NHS Greater Glasgow and Clyde, Acute Services Division</w:t>
      </w:r>
    </w:p>
    <w:p w14:paraId="5A205DE3" w14:textId="77777777" w:rsidR="008502BD" w:rsidRPr="002B30D8" w:rsidRDefault="008502BD" w:rsidP="00067415">
      <w:pPr>
        <w:shd w:val="clear" w:color="auto" w:fill="FFFFFF"/>
        <w:jc w:val="both"/>
        <w:rPr>
          <w:rFonts w:ascii="Calibri" w:hAnsi="Calibri" w:cs="Arial"/>
          <w:bCs/>
          <w:color w:val="002060"/>
        </w:rPr>
      </w:pPr>
    </w:p>
    <w:p w14:paraId="26BEA342" w14:textId="77777777" w:rsidR="008502BD" w:rsidRPr="002B30D8" w:rsidRDefault="00E30E13" w:rsidP="00067415">
      <w:pPr>
        <w:shd w:val="clear" w:color="auto" w:fill="FFFFFF"/>
        <w:jc w:val="both"/>
        <w:rPr>
          <w:rFonts w:ascii="Arial" w:hAnsi="Arial" w:cs="Arial"/>
          <w:color w:val="002060"/>
        </w:rPr>
      </w:pPr>
      <w:r w:rsidRPr="002B30D8">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B30D8">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2B30D8">
        <w:rPr>
          <w:rFonts w:ascii="Arial" w:hAnsi="Arial" w:cs="Arial"/>
          <w:color w:val="002060"/>
        </w:rPr>
        <w:t xml:space="preserve"> </w:t>
      </w:r>
    </w:p>
    <w:p w14:paraId="7A89F3FD" w14:textId="77777777" w:rsidR="008502BD" w:rsidRPr="002B30D8" w:rsidRDefault="008502BD" w:rsidP="00067415">
      <w:pPr>
        <w:shd w:val="clear" w:color="auto" w:fill="FFFFFF"/>
        <w:jc w:val="both"/>
        <w:rPr>
          <w:rFonts w:ascii="Arial" w:hAnsi="Arial" w:cs="Arial"/>
          <w:color w:val="002060"/>
        </w:rPr>
      </w:pPr>
    </w:p>
    <w:p w14:paraId="19622906" w14:textId="77777777" w:rsidR="008502BD" w:rsidRPr="002B30D8" w:rsidRDefault="008502BD" w:rsidP="00067415">
      <w:pPr>
        <w:rPr>
          <w:rFonts w:ascii="Arial" w:hAnsi="Arial" w:cs="Arial"/>
          <w:color w:val="002060"/>
        </w:rPr>
      </w:pPr>
      <w:r w:rsidRPr="002B30D8">
        <w:rPr>
          <w:rFonts w:ascii="Arial" w:hAnsi="Arial" w:cs="Arial"/>
          <w:color w:val="002060"/>
        </w:rPr>
        <w:t>The dimensions of the Directorates/Sectors are around:</w:t>
      </w:r>
    </w:p>
    <w:p w14:paraId="65CC853F" w14:textId="77777777" w:rsidR="008502BD" w:rsidRPr="002B30D8"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2B30D8" w:rsidRPr="002B30D8" w14:paraId="338A3646" w14:textId="77777777" w:rsidTr="00E65521">
        <w:tc>
          <w:tcPr>
            <w:tcW w:w="3319" w:type="dxa"/>
          </w:tcPr>
          <w:p w14:paraId="7220B952" w14:textId="77777777" w:rsidR="008502BD" w:rsidRPr="002B30D8" w:rsidRDefault="008502BD" w:rsidP="00067415">
            <w:pPr>
              <w:jc w:val="center"/>
              <w:rPr>
                <w:rFonts w:ascii="Arial" w:hAnsi="Arial" w:cs="Arial"/>
                <w:b/>
                <w:color w:val="002060"/>
              </w:rPr>
            </w:pPr>
            <w:r w:rsidRPr="002B30D8">
              <w:rPr>
                <w:rFonts w:ascii="Arial" w:hAnsi="Arial" w:cs="Arial"/>
                <w:b/>
                <w:color w:val="002060"/>
              </w:rPr>
              <w:t>Sector/Directorate</w:t>
            </w:r>
          </w:p>
        </w:tc>
        <w:tc>
          <w:tcPr>
            <w:tcW w:w="3319" w:type="dxa"/>
          </w:tcPr>
          <w:p w14:paraId="6C726D28" w14:textId="77777777" w:rsidR="008502BD" w:rsidRPr="002B30D8" w:rsidRDefault="008502BD" w:rsidP="00067415">
            <w:pPr>
              <w:jc w:val="center"/>
              <w:rPr>
                <w:rFonts w:ascii="Arial" w:hAnsi="Arial" w:cs="Arial"/>
                <w:b/>
                <w:color w:val="002060"/>
              </w:rPr>
            </w:pPr>
            <w:r w:rsidRPr="002B30D8">
              <w:rPr>
                <w:rFonts w:ascii="Arial" w:hAnsi="Arial" w:cs="Arial"/>
                <w:b/>
                <w:color w:val="002060"/>
              </w:rPr>
              <w:t>Budget (£m)</w:t>
            </w:r>
          </w:p>
        </w:tc>
        <w:tc>
          <w:tcPr>
            <w:tcW w:w="3319" w:type="dxa"/>
          </w:tcPr>
          <w:p w14:paraId="7CD286CC" w14:textId="77777777" w:rsidR="008502BD" w:rsidRPr="002B30D8" w:rsidRDefault="008502BD" w:rsidP="00067415">
            <w:pPr>
              <w:jc w:val="center"/>
              <w:rPr>
                <w:rFonts w:ascii="Arial" w:hAnsi="Arial" w:cs="Arial"/>
                <w:b/>
                <w:color w:val="002060"/>
              </w:rPr>
            </w:pPr>
            <w:r w:rsidRPr="002B30D8">
              <w:rPr>
                <w:rFonts w:ascii="Arial" w:hAnsi="Arial" w:cs="Arial"/>
                <w:b/>
                <w:color w:val="002060"/>
              </w:rPr>
              <w:t>Staff numbers</w:t>
            </w:r>
          </w:p>
        </w:tc>
      </w:tr>
      <w:tr w:rsidR="002B30D8" w:rsidRPr="002B30D8" w14:paraId="112E94C5" w14:textId="77777777" w:rsidTr="00E65521">
        <w:tc>
          <w:tcPr>
            <w:tcW w:w="3319" w:type="dxa"/>
          </w:tcPr>
          <w:p w14:paraId="5850E023" w14:textId="77777777" w:rsidR="008502BD" w:rsidRPr="002B30D8" w:rsidRDefault="008502BD" w:rsidP="00067415">
            <w:pPr>
              <w:jc w:val="center"/>
              <w:rPr>
                <w:rFonts w:ascii="Arial" w:hAnsi="Arial" w:cs="Arial"/>
                <w:color w:val="002060"/>
              </w:rPr>
            </w:pPr>
            <w:r w:rsidRPr="002B30D8">
              <w:rPr>
                <w:rFonts w:ascii="Arial" w:hAnsi="Arial" w:cs="Arial"/>
                <w:color w:val="002060"/>
              </w:rPr>
              <w:t>South</w:t>
            </w:r>
          </w:p>
        </w:tc>
        <w:tc>
          <w:tcPr>
            <w:tcW w:w="3319" w:type="dxa"/>
          </w:tcPr>
          <w:p w14:paraId="31B38E36" w14:textId="77777777" w:rsidR="008502BD" w:rsidRPr="002B30D8" w:rsidRDefault="008502BD" w:rsidP="00067415">
            <w:pPr>
              <w:jc w:val="center"/>
              <w:rPr>
                <w:rFonts w:ascii="Arial" w:hAnsi="Arial" w:cs="Arial"/>
                <w:color w:val="002060"/>
              </w:rPr>
            </w:pPr>
            <w:r w:rsidRPr="002B30D8">
              <w:rPr>
                <w:rFonts w:ascii="Arial" w:hAnsi="Arial" w:cs="Arial"/>
                <w:color w:val="002060"/>
              </w:rPr>
              <w:t>£353m</w:t>
            </w:r>
          </w:p>
        </w:tc>
        <w:tc>
          <w:tcPr>
            <w:tcW w:w="3319" w:type="dxa"/>
          </w:tcPr>
          <w:p w14:paraId="50636BE2" w14:textId="77777777" w:rsidR="008502BD" w:rsidRPr="002B30D8" w:rsidRDefault="008502BD" w:rsidP="00067415">
            <w:pPr>
              <w:jc w:val="center"/>
              <w:rPr>
                <w:rFonts w:ascii="Arial" w:hAnsi="Arial" w:cs="Arial"/>
                <w:color w:val="002060"/>
              </w:rPr>
            </w:pPr>
            <w:r w:rsidRPr="002B30D8">
              <w:rPr>
                <w:rFonts w:ascii="Arial" w:hAnsi="Arial" w:cs="Arial"/>
                <w:color w:val="002060"/>
              </w:rPr>
              <w:t>5,116</w:t>
            </w:r>
          </w:p>
        </w:tc>
      </w:tr>
      <w:tr w:rsidR="002B30D8" w:rsidRPr="002B30D8" w14:paraId="14801AC1" w14:textId="77777777" w:rsidTr="00E65521">
        <w:tc>
          <w:tcPr>
            <w:tcW w:w="3319" w:type="dxa"/>
          </w:tcPr>
          <w:p w14:paraId="430E10F9" w14:textId="77777777" w:rsidR="008502BD" w:rsidRPr="002B30D8" w:rsidRDefault="008502BD" w:rsidP="00067415">
            <w:pPr>
              <w:jc w:val="center"/>
              <w:rPr>
                <w:rFonts w:ascii="Arial" w:hAnsi="Arial" w:cs="Arial"/>
                <w:color w:val="002060"/>
              </w:rPr>
            </w:pPr>
            <w:r w:rsidRPr="002B30D8">
              <w:rPr>
                <w:rFonts w:ascii="Arial" w:hAnsi="Arial" w:cs="Arial"/>
                <w:color w:val="002060"/>
              </w:rPr>
              <w:t>Regional</w:t>
            </w:r>
          </w:p>
        </w:tc>
        <w:tc>
          <w:tcPr>
            <w:tcW w:w="3319" w:type="dxa"/>
          </w:tcPr>
          <w:p w14:paraId="0DADFE45" w14:textId="77777777" w:rsidR="008502BD" w:rsidRPr="002B30D8" w:rsidRDefault="008502BD" w:rsidP="00067415">
            <w:pPr>
              <w:jc w:val="center"/>
              <w:rPr>
                <w:rFonts w:ascii="Arial" w:hAnsi="Arial" w:cs="Arial"/>
                <w:color w:val="002060"/>
              </w:rPr>
            </w:pPr>
            <w:r w:rsidRPr="002B30D8">
              <w:rPr>
                <w:rFonts w:ascii="Arial" w:hAnsi="Arial" w:cs="Arial"/>
                <w:color w:val="002060"/>
              </w:rPr>
              <w:t>£273m</w:t>
            </w:r>
          </w:p>
        </w:tc>
        <w:tc>
          <w:tcPr>
            <w:tcW w:w="3319" w:type="dxa"/>
          </w:tcPr>
          <w:p w14:paraId="6700606D" w14:textId="77777777" w:rsidR="008502BD" w:rsidRPr="002B30D8" w:rsidRDefault="008502BD" w:rsidP="00067415">
            <w:pPr>
              <w:jc w:val="center"/>
              <w:rPr>
                <w:rFonts w:ascii="Arial" w:hAnsi="Arial" w:cs="Arial"/>
                <w:color w:val="002060"/>
              </w:rPr>
            </w:pPr>
            <w:r w:rsidRPr="002B30D8">
              <w:rPr>
                <w:rFonts w:ascii="Arial" w:hAnsi="Arial" w:cs="Arial"/>
                <w:color w:val="002060"/>
              </w:rPr>
              <w:t>3,486</w:t>
            </w:r>
          </w:p>
        </w:tc>
      </w:tr>
      <w:tr w:rsidR="002B30D8" w:rsidRPr="002B30D8" w14:paraId="71F601DA" w14:textId="77777777" w:rsidTr="00E65521">
        <w:tc>
          <w:tcPr>
            <w:tcW w:w="3319" w:type="dxa"/>
          </w:tcPr>
          <w:p w14:paraId="118F19D6" w14:textId="77777777" w:rsidR="008502BD" w:rsidRPr="002B30D8" w:rsidRDefault="008502BD" w:rsidP="00067415">
            <w:pPr>
              <w:jc w:val="center"/>
              <w:rPr>
                <w:rFonts w:ascii="Arial" w:hAnsi="Arial" w:cs="Arial"/>
                <w:color w:val="002060"/>
              </w:rPr>
            </w:pPr>
            <w:r w:rsidRPr="002B30D8">
              <w:rPr>
                <w:rFonts w:ascii="Arial" w:hAnsi="Arial" w:cs="Arial"/>
                <w:color w:val="002060"/>
              </w:rPr>
              <w:t>North</w:t>
            </w:r>
          </w:p>
        </w:tc>
        <w:tc>
          <w:tcPr>
            <w:tcW w:w="3319" w:type="dxa"/>
          </w:tcPr>
          <w:p w14:paraId="39DED14D" w14:textId="77777777" w:rsidR="008502BD" w:rsidRPr="002B30D8" w:rsidRDefault="008502BD" w:rsidP="00067415">
            <w:pPr>
              <w:jc w:val="center"/>
              <w:rPr>
                <w:rFonts w:ascii="Arial" w:hAnsi="Arial" w:cs="Arial"/>
                <w:color w:val="002060"/>
              </w:rPr>
            </w:pPr>
            <w:r w:rsidRPr="002B30D8">
              <w:rPr>
                <w:rFonts w:ascii="Arial" w:hAnsi="Arial" w:cs="Arial"/>
                <w:color w:val="002060"/>
              </w:rPr>
              <w:t>£193m</w:t>
            </w:r>
          </w:p>
        </w:tc>
        <w:tc>
          <w:tcPr>
            <w:tcW w:w="3319" w:type="dxa"/>
          </w:tcPr>
          <w:p w14:paraId="34105768" w14:textId="77777777" w:rsidR="008502BD" w:rsidRPr="002B30D8" w:rsidRDefault="008502BD" w:rsidP="00067415">
            <w:pPr>
              <w:jc w:val="center"/>
              <w:rPr>
                <w:rFonts w:ascii="Arial" w:hAnsi="Arial" w:cs="Arial"/>
                <w:color w:val="002060"/>
              </w:rPr>
            </w:pPr>
            <w:r w:rsidRPr="002B30D8">
              <w:rPr>
                <w:rFonts w:ascii="Arial" w:hAnsi="Arial" w:cs="Arial"/>
                <w:color w:val="002060"/>
              </w:rPr>
              <w:t>3,397</w:t>
            </w:r>
          </w:p>
        </w:tc>
      </w:tr>
      <w:tr w:rsidR="002B30D8" w:rsidRPr="002B30D8" w14:paraId="1A9CEF3A" w14:textId="77777777" w:rsidTr="00E65521">
        <w:tc>
          <w:tcPr>
            <w:tcW w:w="3319" w:type="dxa"/>
          </w:tcPr>
          <w:p w14:paraId="05B1F692" w14:textId="77777777" w:rsidR="008502BD" w:rsidRPr="002B30D8" w:rsidRDefault="008502BD" w:rsidP="00067415">
            <w:pPr>
              <w:jc w:val="center"/>
              <w:rPr>
                <w:rFonts w:ascii="Arial" w:hAnsi="Arial" w:cs="Arial"/>
                <w:color w:val="002060"/>
              </w:rPr>
            </w:pPr>
            <w:r w:rsidRPr="002B30D8">
              <w:rPr>
                <w:rFonts w:ascii="Arial" w:hAnsi="Arial" w:cs="Arial"/>
                <w:color w:val="002060"/>
              </w:rPr>
              <w:t>W&amp;C</w:t>
            </w:r>
          </w:p>
        </w:tc>
        <w:tc>
          <w:tcPr>
            <w:tcW w:w="3319" w:type="dxa"/>
          </w:tcPr>
          <w:p w14:paraId="174CE195" w14:textId="77777777" w:rsidR="008502BD" w:rsidRPr="002B30D8" w:rsidRDefault="008502BD" w:rsidP="00067415">
            <w:pPr>
              <w:jc w:val="center"/>
              <w:rPr>
                <w:rFonts w:ascii="Arial" w:hAnsi="Arial" w:cs="Arial"/>
                <w:color w:val="002060"/>
              </w:rPr>
            </w:pPr>
            <w:r w:rsidRPr="002B30D8">
              <w:rPr>
                <w:rFonts w:ascii="Arial" w:hAnsi="Arial" w:cs="Arial"/>
                <w:color w:val="002060"/>
              </w:rPr>
              <w:t>£193m</w:t>
            </w:r>
          </w:p>
        </w:tc>
        <w:tc>
          <w:tcPr>
            <w:tcW w:w="3319" w:type="dxa"/>
          </w:tcPr>
          <w:p w14:paraId="7B76E0D9" w14:textId="77777777" w:rsidR="008502BD" w:rsidRPr="002B30D8" w:rsidRDefault="008502BD" w:rsidP="00067415">
            <w:pPr>
              <w:jc w:val="center"/>
              <w:rPr>
                <w:rFonts w:ascii="Arial" w:hAnsi="Arial" w:cs="Arial"/>
                <w:color w:val="002060"/>
              </w:rPr>
            </w:pPr>
            <w:r w:rsidRPr="002B30D8">
              <w:rPr>
                <w:rFonts w:ascii="Arial" w:hAnsi="Arial" w:cs="Arial"/>
                <w:color w:val="002060"/>
              </w:rPr>
              <w:t>2,961</w:t>
            </w:r>
          </w:p>
        </w:tc>
      </w:tr>
      <w:tr w:rsidR="002B30D8" w:rsidRPr="002B30D8" w14:paraId="00F0A470" w14:textId="77777777" w:rsidTr="00E65521">
        <w:tc>
          <w:tcPr>
            <w:tcW w:w="3319" w:type="dxa"/>
          </w:tcPr>
          <w:p w14:paraId="11924A6E" w14:textId="77777777" w:rsidR="008502BD" w:rsidRPr="002B30D8" w:rsidRDefault="008502BD" w:rsidP="00067415">
            <w:pPr>
              <w:jc w:val="center"/>
              <w:rPr>
                <w:rFonts w:ascii="Arial" w:hAnsi="Arial" w:cs="Arial"/>
                <w:color w:val="002060"/>
              </w:rPr>
            </w:pPr>
            <w:r w:rsidRPr="002B30D8">
              <w:rPr>
                <w:rFonts w:ascii="Arial" w:hAnsi="Arial" w:cs="Arial"/>
                <w:color w:val="002060"/>
              </w:rPr>
              <w:t>Diagnostics</w:t>
            </w:r>
          </w:p>
        </w:tc>
        <w:tc>
          <w:tcPr>
            <w:tcW w:w="3319" w:type="dxa"/>
          </w:tcPr>
          <w:p w14:paraId="343E26F1" w14:textId="77777777" w:rsidR="008502BD" w:rsidRPr="002B30D8" w:rsidRDefault="008502BD" w:rsidP="00067415">
            <w:pPr>
              <w:jc w:val="center"/>
              <w:rPr>
                <w:rFonts w:ascii="Arial" w:hAnsi="Arial" w:cs="Arial"/>
                <w:color w:val="002060"/>
              </w:rPr>
            </w:pPr>
            <w:r w:rsidRPr="002B30D8">
              <w:rPr>
                <w:rFonts w:ascii="Arial" w:hAnsi="Arial" w:cs="Arial"/>
                <w:color w:val="002060"/>
              </w:rPr>
              <w:t>£187m</w:t>
            </w:r>
          </w:p>
        </w:tc>
        <w:tc>
          <w:tcPr>
            <w:tcW w:w="3319" w:type="dxa"/>
          </w:tcPr>
          <w:p w14:paraId="4F68C23E" w14:textId="77777777" w:rsidR="008502BD" w:rsidRPr="002B30D8" w:rsidRDefault="008502BD" w:rsidP="00067415">
            <w:pPr>
              <w:jc w:val="center"/>
              <w:rPr>
                <w:rFonts w:ascii="Arial" w:hAnsi="Arial" w:cs="Arial"/>
                <w:color w:val="002060"/>
              </w:rPr>
            </w:pPr>
            <w:r w:rsidRPr="002B30D8">
              <w:rPr>
                <w:rFonts w:ascii="Arial" w:hAnsi="Arial" w:cs="Arial"/>
                <w:color w:val="002060"/>
              </w:rPr>
              <w:t>2,765</w:t>
            </w:r>
          </w:p>
        </w:tc>
      </w:tr>
      <w:tr w:rsidR="002B30D8" w:rsidRPr="002B30D8" w14:paraId="013A64AA" w14:textId="77777777" w:rsidTr="00E65521">
        <w:tc>
          <w:tcPr>
            <w:tcW w:w="3319" w:type="dxa"/>
          </w:tcPr>
          <w:p w14:paraId="2AE0FCFC" w14:textId="77777777" w:rsidR="008502BD" w:rsidRPr="002B30D8" w:rsidRDefault="008502BD" w:rsidP="00067415">
            <w:pPr>
              <w:jc w:val="center"/>
              <w:rPr>
                <w:rFonts w:ascii="Arial" w:hAnsi="Arial" w:cs="Arial"/>
                <w:color w:val="002060"/>
              </w:rPr>
            </w:pPr>
            <w:r w:rsidRPr="002B30D8">
              <w:rPr>
                <w:rFonts w:ascii="Arial" w:hAnsi="Arial" w:cs="Arial"/>
                <w:color w:val="002060"/>
              </w:rPr>
              <w:t>Clyde</w:t>
            </w:r>
          </w:p>
        </w:tc>
        <w:tc>
          <w:tcPr>
            <w:tcW w:w="3319" w:type="dxa"/>
          </w:tcPr>
          <w:p w14:paraId="14560E0B" w14:textId="77777777" w:rsidR="008502BD" w:rsidRPr="002B30D8" w:rsidRDefault="008502BD" w:rsidP="00067415">
            <w:pPr>
              <w:jc w:val="center"/>
              <w:rPr>
                <w:rFonts w:ascii="Arial" w:hAnsi="Arial" w:cs="Arial"/>
                <w:color w:val="002060"/>
              </w:rPr>
            </w:pPr>
            <w:r w:rsidRPr="002B30D8">
              <w:rPr>
                <w:rFonts w:ascii="Arial" w:hAnsi="Arial" w:cs="Arial"/>
                <w:color w:val="002060"/>
              </w:rPr>
              <w:t>£177m</w:t>
            </w:r>
          </w:p>
        </w:tc>
        <w:tc>
          <w:tcPr>
            <w:tcW w:w="3319" w:type="dxa"/>
          </w:tcPr>
          <w:p w14:paraId="44656758" w14:textId="77777777" w:rsidR="008502BD" w:rsidRPr="002B30D8" w:rsidRDefault="008502BD" w:rsidP="00067415">
            <w:pPr>
              <w:jc w:val="center"/>
              <w:rPr>
                <w:rFonts w:ascii="Arial" w:hAnsi="Arial" w:cs="Arial"/>
                <w:color w:val="002060"/>
              </w:rPr>
            </w:pPr>
            <w:r w:rsidRPr="002B30D8">
              <w:rPr>
                <w:rFonts w:ascii="Arial" w:hAnsi="Arial" w:cs="Arial"/>
                <w:color w:val="002060"/>
              </w:rPr>
              <w:t>3,019</w:t>
            </w:r>
          </w:p>
        </w:tc>
      </w:tr>
      <w:tr w:rsidR="002B30D8" w:rsidRPr="002B30D8" w14:paraId="3B194CCA" w14:textId="77777777" w:rsidTr="00E65521">
        <w:tc>
          <w:tcPr>
            <w:tcW w:w="3319" w:type="dxa"/>
          </w:tcPr>
          <w:p w14:paraId="383486B4" w14:textId="77777777" w:rsidR="008502BD" w:rsidRPr="002B30D8" w:rsidRDefault="008502BD" w:rsidP="00067415">
            <w:pPr>
              <w:jc w:val="center"/>
              <w:rPr>
                <w:rFonts w:ascii="Arial" w:hAnsi="Arial" w:cs="Arial"/>
                <w:color w:val="002060"/>
              </w:rPr>
            </w:pPr>
            <w:r w:rsidRPr="002B30D8">
              <w:rPr>
                <w:rFonts w:ascii="Arial" w:hAnsi="Arial" w:cs="Arial"/>
                <w:color w:val="002060"/>
              </w:rPr>
              <w:t>Acute corporate</w:t>
            </w:r>
          </w:p>
        </w:tc>
        <w:tc>
          <w:tcPr>
            <w:tcW w:w="3319" w:type="dxa"/>
          </w:tcPr>
          <w:p w14:paraId="52208307" w14:textId="77777777" w:rsidR="008502BD" w:rsidRPr="002B30D8" w:rsidRDefault="008502BD" w:rsidP="00067415">
            <w:pPr>
              <w:jc w:val="center"/>
              <w:rPr>
                <w:rFonts w:ascii="Arial" w:hAnsi="Arial" w:cs="Arial"/>
                <w:color w:val="002060"/>
              </w:rPr>
            </w:pPr>
            <w:r w:rsidRPr="002B30D8">
              <w:rPr>
                <w:rFonts w:ascii="Arial" w:hAnsi="Arial" w:cs="Arial"/>
                <w:color w:val="002060"/>
              </w:rPr>
              <w:t>£24m</w:t>
            </w:r>
          </w:p>
        </w:tc>
        <w:tc>
          <w:tcPr>
            <w:tcW w:w="3319" w:type="dxa"/>
          </w:tcPr>
          <w:p w14:paraId="444F8E77" w14:textId="77777777" w:rsidR="008502BD" w:rsidRPr="002B30D8" w:rsidRDefault="008502BD" w:rsidP="00067415">
            <w:pPr>
              <w:jc w:val="center"/>
              <w:rPr>
                <w:rFonts w:ascii="Arial" w:hAnsi="Arial" w:cs="Arial"/>
                <w:color w:val="002060"/>
              </w:rPr>
            </w:pPr>
            <w:r w:rsidRPr="002B30D8">
              <w:rPr>
                <w:rFonts w:ascii="Arial" w:hAnsi="Arial" w:cs="Arial"/>
                <w:color w:val="002060"/>
              </w:rPr>
              <w:t>49</w:t>
            </w:r>
          </w:p>
        </w:tc>
      </w:tr>
      <w:tr w:rsidR="002B30D8" w:rsidRPr="002B30D8" w14:paraId="10B69767" w14:textId="77777777" w:rsidTr="00E65521">
        <w:tc>
          <w:tcPr>
            <w:tcW w:w="3319" w:type="dxa"/>
          </w:tcPr>
          <w:p w14:paraId="54A3A7E4" w14:textId="77777777" w:rsidR="008502BD" w:rsidRPr="002B30D8" w:rsidRDefault="008502BD" w:rsidP="00067415">
            <w:pPr>
              <w:jc w:val="center"/>
              <w:rPr>
                <w:rFonts w:ascii="Arial" w:hAnsi="Arial" w:cs="Arial"/>
                <w:b/>
                <w:color w:val="002060"/>
              </w:rPr>
            </w:pPr>
            <w:r w:rsidRPr="002B30D8">
              <w:rPr>
                <w:rFonts w:ascii="Arial" w:hAnsi="Arial" w:cs="Arial"/>
                <w:b/>
                <w:color w:val="002060"/>
              </w:rPr>
              <w:t>TOTAL</w:t>
            </w:r>
          </w:p>
        </w:tc>
        <w:tc>
          <w:tcPr>
            <w:tcW w:w="3319" w:type="dxa"/>
          </w:tcPr>
          <w:p w14:paraId="256CACBF" w14:textId="77777777" w:rsidR="008502BD" w:rsidRPr="002B30D8" w:rsidRDefault="008502BD" w:rsidP="00067415">
            <w:pPr>
              <w:jc w:val="center"/>
              <w:rPr>
                <w:rFonts w:ascii="Arial" w:hAnsi="Arial" w:cs="Arial"/>
                <w:b/>
                <w:color w:val="002060"/>
              </w:rPr>
            </w:pPr>
            <w:r w:rsidRPr="002B30D8">
              <w:rPr>
                <w:rFonts w:ascii="Arial" w:hAnsi="Arial" w:cs="Arial"/>
                <w:b/>
                <w:color w:val="002060"/>
              </w:rPr>
              <w:t>£1400M</w:t>
            </w:r>
          </w:p>
        </w:tc>
        <w:tc>
          <w:tcPr>
            <w:tcW w:w="3319" w:type="dxa"/>
          </w:tcPr>
          <w:p w14:paraId="552BE9D6" w14:textId="77777777" w:rsidR="008502BD" w:rsidRPr="002B30D8" w:rsidRDefault="008502BD" w:rsidP="00067415">
            <w:pPr>
              <w:jc w:val="center"/>
              <w:rPr>
                <w:rFonts w:ascii="Arial" w:hAnsi="Arial" w:cs="Arial"/>
                <w:b/>
                <w:color w:val="002060"/>
              </w:rPr>
            </w:pPr>
            <w:r w:rsidRPr="002B30D8">
              <w:rPr>
                <w:rFonts w:ascii="Arial" w:hAnsi="Arial" w:cs="Arial"/>
                <w:b/>
                <w:color w:val="002060"/>
              </w:rPr>
              <w:t>20,793</w:t>
            </w:r>
          </w:p>
        </w:tc>
      </w:tr>
    </w:tbl>
    <w:p w14:paraId="47DB0A08" w14:textId="77777777" w:rsidR="008502BD" w:rsidRPr="002B30D8" w:rsidRDefault="008502BD" w:rsidP="00067415">
      <w:pPr>
        <w:pStyle w:val="BodyText"/>
        <w:ind w:right="121"/>
        <w:rPr>
          <w:rFonts w:ascii="Arial" w:hAnsi="Arial" w:cs="Arial"/>
          <w:color w:val="002060"/>
          <w:sz w:val="22"/>
          <w:szCs w:val="22"/>
        </w:rPr>
      </w:pPr>
    </w:p>
    <w:p w14:paraId="391CB6EA" w14:textId="77777777" w:rsidR="008502BD" w:rsidRPr="002B30D8" w:rsidRDefault="008502BD" w:rsidP="00067415">
      <w:pPr>
        <w:jc w:val="both"/>
        <w:rPr>
          <w:rFonts w:ascii="Arial" w:hAnsi="Arial" w:cs="Arial"/>
          <w:color w:val="002060"/>
        </w:rPr>
      </w:pPr>
      <w:r w:rsidRPr="002B30D8">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2B30D8" w:rsidRDefault="008502BD" w:rsidP="00067415">
      <w:pPr>
        <w:jc w:val="both"/>
        <w:rPr>
          <w:rFonts w:ascii="Arial" w:hAnsi="Arial" w:cs="Arial"/>
          <w:color w:val="002060"/>
        </w:rPr>
      </w:pPr>
    </w:p>
    <w:p w14:paraId="69D8D9EB" w14:textId="77777777" w:rsidR="008502BD" w:rsidRPr="002B30D8" w:rsidRDefault="008502BD" w:rsidP="00067415">
      <w:pPr>
        <w:jc w:val="both"/>
        <w:rPr>
          <w:rFonts w:ascii="Arial" w:hAnsi="Arial" w:cs="Arial"/>
          <w:color w:val="002060"/>
        </w:rPr>
      </w:pPr>
      <w:r w:rsidRPr="002B30D8">
        <w:rPr>
          <w:rFonts w:ascii="Arial" w:hAnsi="Arial" w:cs="Arial"/>
          <w:color w:val="002060"/>
        </w:rPr>
        <w:t xml:space="preserve">In Glasgow north of the river Clyde, there are Glasgow Royal Infirmary, Stobhill Ambulatory Care Hospital, </w:t>
      </w:r>
      <w:proofErr w:type="spellStart"/>
      <w:r w:rsidRPr="002B30D8">
        <w:rPr>
          <w:rFonts w:ascii="Arial" w:hAnsi="Arial" w:cs="Arial"/>
          <w:color w:val="002060"/>
        </w:rPr>
        <w:t>Gartnavel</w:t>
      </w:r>
      <w:proofErr w:type="spellEnd"/>
      <w:r w:rsidRPr="002B30D8">
        <w:rPr>
          <w:rFonts w:ascii="Arial" w:hAnsi="Arial" w:cs="Arial"/>
          <w:color w:val="002060"/>
        </w:rPr>
        <w:t xml:space="preserve"> General Hospital (including the Beatson West of </w:t>
      </w:r>
      <w:r w:rsidRPr="002B30D8">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2B30D8" w:rsidRDefault="008502BD" w:rsidP="00067415">
      <w:pPr>
        <w:pStyle w:val="Heading2"/>
        <w:ind w:left="0"/>
        <w:rPr>
          <w:b w:val="0"/>
          <w:bCs w:val="0"/>
          <w:color w:val="002060"/>
          <w:sz w:val="24"/>
          <w:szCs w:val="24"/>
        </w:rPr>
      </w:pPr>
    </w:p>
    <w:p w14:paraId="3CE984DA" w14:textId="77777777" w:rsidR="008502BD" w:rsidRPr="002B30D8" w:rsidRDefault="008502BD" w:rsidP="00067415">
      <w:pPr>
        <w:pStyle w:val="Heading2"/>
        <w:ind w:left="0"/>
        <w:rPr>
          <w:color w:val="002060"/>
          <w:sz w:val="24"/>
          <w:szCs w:val="24"/>
        </w:rPr>
      </w:pPr>
      <w:r w:rsidRPr="002B30D8">
        <w:rPr>
          <w:color w:val="002060"/>
          <w:sz w:val="24"/>
          <w:szCs w:val="24"/>
        </w:rPr>
        <w:t>Queen Elizabeth University Hospital and Royal Hospital for Children</w:t>
      </w:r>
    </w:p>
    <w:p w14:paraId="659A7CA1" w14:textId="77777777" w:rsidR="008502BD" w:rsidRPr="002B30D8" w:rsidRDefault="008502BD" w:rsidP="00067415">
      <w:pPr>
        <w:jc w:val="both"/>
        <w:rPr>
          <w:rFonts w:ascii="Arial" w:hAnsi="Arial" w:cs="Arial"/>
          <w:color w:val="002060"/>
        </w:rPr>
      </w:pPr>
    </w:p>
    <w:p w14:paraId="72AC19BB" w14:textId="77777777" w:rsidR="008502BD" w:rsidRPr="002B30D8" w:rsidRDefault="008502BD" w:rsidP="00067415">
      <w:pPr>
        <w:jc w:val="both"/>
        <w:rPr>
          <w:rFonts w:ascii="Arial" w:hAnsi="Arial" w:cs="Arial"/>
          <w:color w:val="002060"/>
        </w:rPr>
      </w:pPr>
      <w:r w:rsidRPr="002B30D8">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2B30D8" w:rsidRDefault="008502BD" w:rsidP="00067415">
      <w:pPr>
        <w:jc w:val="both"/>
        <w:rPr>
          <w:rFonts w:ascii="Arial" w:hAnsi="Arial" w:cs="Arial"/>
          <w:color w:val="002060"/>
        </w:rPr>
      </w:pPr>
    </w:p>
    <w:p w14:paraId="4D7AAA95" w14:textId="77777777" w:rsidR="008502BD" w:rsidRPr="002B30D8" w:rsidRDefault="008502BD" w:rsidP="00067415">
      <w:pPr>
        <w:jc w:val="both"/>
        <w:rPr>
          <w:rFonts w:ascii="Arial" w:hAnsi="Arial" w:cs="Arial"/>
          <w:color w:val="002060"/>
        </w:rPr>
      </w:pPr>
      <w:r w:rsidRPr="002B30D8">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2B30D8" w:rsidRDefault="008502BD" w:rsidP="00067415">
      <w:pPr>
        <w:jc w:val="both"/>
        <w:rPr>
          <w:rFonts w:ascii="Arial" w:hAnsi="Arial" w:cs="Arial"/>
          <w:color w:val="002060"/>
        </w:rPr>
      </w:pPr>
    </w:p>
    <w:p w14:paraId="6CD193BC" w14:textId="77777777" w:rsidR="008502BD" w:rsidRPr="002B30D8" w:rsidRDefault="00E30E13" w:rsidP="00067415">
      <w:pPr>
        <w:jc w:val="both"/>
        <w:rPr>
          <w:rFonts w:ascii="Arial" w:hAnsi="Arial" w:cs="Arial"/>
          <w:b/>
          <w:color w:val="002060"/>
        </w:rPr>
      </w:pPr>
      <w:r w:rsidRPr="002B30D8">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B30D8">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2B30D8">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2B30D8" w:rsidRDefault="008502BD" w:rsidP="00067415">
      <w:pPr>
        <w:jc w:val="both"/>
        <w:rPr>
          <w:rFonts w:ascii="Arial" w:hAnsi="Arial" w:cs="Arial"/>
          <w:color w:val="002060"/>
        </w:rPr>
      </w:pPr>
    </w:p>
    <w:p w14:paraId="6A0A05C4" w14:textId="77777777" w:rsidR="008502BD" w:rsidRPr="002B30D8" w:rsidRDefault="008502BD" w:rsidP="00067415">
      <w:pPr>
        <w:jc w:val="both"/>
        <w:rPr>
          <w:rFonts w:ascii="Arial" w:hAnsi="Arial" w:cs="Arial"/>
          <w:color w:val="002060"/>
        </w:rPr>
      </w:pPr>
      <w:r w:rsidRPr="002B30D8">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2B30D8" w:rsidRDefault="008502BD" w:rsidP="00067415">
      <w:pPr>
        <w:jc w:val="both"/>
        <w:rPr>
          <w:rFonts w:ascii="Arial" w:hAnsi="Arial" w:cs="Arial"/>
          <w:b/>
          <w:bCs/>
          <w:color w:val="002060"/>
        </w:rPr>
      </w:pPr>
    </w:p>
    <w:p w14:paraId="23699724" w14:textId="77777777" w:rsidR="008502BD" w:rsidRPr="002B30D8" w:rsidRDefault="008502BD" w:rsidP="00067415">
      <w:pPr>
        <w:jc w:val="both"/>
        <w:rPr>
          <w:rFonts w:ascii="Arial" w:hAnsi="Arial" w:cs="Arial"/>
          <w:color w:val="002060"/>
        </w:rPr>
      </w:pPr>
      <w:r w:rsidRPr="002B30D8">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2B30D8" w:rsidRDefault="008502BD" w:rsidP="00067415">
      <w:pPr>
        <w:jc w:val="both"/>
        <w:rPr>
          <w:rFonts w:ascii="Arial" w:hAnsi="Arial" w:cs="Arial"/>
          <w:color w:val="002060"/>
        </w:rPr>
      </w:pPr>
    </w:p>
    <w:p w14:paraId="0D6AABF5" w14:textId="77777777" w:rsidR="008502BD" w:rsidRPr="002B30D8" w:rsidRDefault="008502BD" w:rsidP="00067415">
      <w:pPr>
        <w:jc w:val="both"/>
        <w:rPr>
          <w:rFonts w:ascii="Arial" w:hAnsi="Arial" w:cs="Arial"/>
          <w:color w:val="002060"/>
        </w:rPr>
      </w:pPr>
      <w:r w:rsidRPr="002B30D8">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2B30D8" w:rsidRDefault="008502BD" w:rsidP="00067415">
      <w:pPr>
        <w:jc w:val="both"/>
        <w:rPr>
          <w:rFonts w:ascii="Arial" w:hAnsi="Arial" w:cs="Arial"/>
          <w:color w:val="002060"/>
        </w:rPr>
      </w:pPr>
    </w:p>
    <w:p w14:paraId="30831D36" w14:textId="77777777" w:rsidR="008502BD" w:rsidRPr="002B30D8" w:rsidRDefault="008502BD" w:rsidP="00067415">
      <w:pPr>
        <w:jc w:val="both"/>
        <w:rPr>
          <w:rStyle w:val="Hyperlink"/>
          <w:rFonts w:ascii="Arial" w:hAnsi="Arial" w:cs="Arial"/>
          <w:b/>
          <w:color w:val="002060"/>
        </w:rPr>
      </w:pPr>
      <w:r w:rsidRPr="002B30D8">
        <w:rPr>
          <w:rFonts w:ascii="Arial" w:hAnsi="Arial" w:cs="Arial"/>
          <w:color w:val="002060"/>
        </w:rPr>
        <w:t xml:space="preserve">Further information is available at </w:t>
      </w:r>
      <w:r w:rsidRPr="002B30D8">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2B30D8" w:rsidRDefault="008502BD" w:rsidP="00067415">
      <w:pPr>
        <w:rPr>
          <w:color w:val="002060"/>
        </w:rPr>
      </w:pPr>
    </w:p>
    <w:p w14:paraId="0F5FBFC8" w14:textId="77777777" w:rsidR="008502BD" w:rsidRPr="002B30D8" w:rsidRDefault="008502BD" w:rsidP="00067415">
      <w:pPr>
        <w:pStyle w:val="Heading2"/>
        <w:ind w:left="0"/>
        <w:rPr>
          <w:color w:val="002060"/>
          <w:sz w:val="24"/>
          <w:szCs w:val="24"/>
        </w:rPr>
      </w:pPr>
      <w:r w:rsidRPr="002B30D8">
        <w:rPr>
          <w:color w:val="002060"/>
          <w:sz w:val="24"/>
          <w:szCs w:val="24"/>
        </w:rPr>
        <w:t>Education and Research</w:t>
      </w:r>
    </w:p>
    <w:p w14:paraId="674D095C" w14:textId="77777777" w:rsidR="008502BD" w:rsidRPr="002B30D8" w:rsidRDefault="008502BD" w:rsidP="00067415">
      <w:pPr>
        <w:rPr>
          <w:color w:val="002060"/>
        </w:rPr>
      </w:pPr>
    </w:p>
    <w:p w14:paraId="116D06FC" w14:textId="77777777" w:rsidR="008502BD" w:rsidRPr="002B30D8" w:rsidRDefault="008502BD" w:rsidP="00067415">
      <w:pPr>
        <w:pStyle w:val="NormalWeb"/>
        <w:rPr>
          <w:rFonts w:ascii="Arial" w:hAnsi="Arial" w:cs="Arial"/>
          <w:color w:val="002060"/>
        </w:rPr>
      </w:pPr>
      <w:r w:rsidRPr="002B30D8">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2B30D8">
        <w:rPr>
          <w:rFonts w:ascii="Arial" w:hAnsi="Arial" w:cs="Arial"/>
          <w:color w:val="002060"/>
          <w:spacing w:val="1"/>
        </w:rPr>
        <w:t>h</w:t>
      </w:r>
      <w:r w:rsidRPr="002B30D8">
        <w:rPr>
          <w:rFonts w:ascii="Arial" w:hAnsi="Arial" w:cs="Arial"/>
          <w:color w:val="002060"/>
        </w:rPr>
        <w:t>e</w:t>
      </w:r>
      <w:r w:rsidRPr="002B30D8">
        <w:rPr>
          <w:rFonts w:ascii="Arial" w:hAnsi="Arial" w:cs="Arial"/>
          <w:color w:val="002060"/>
          <w:spacing w:val="39"/>
        </w:rPr>
        <w:t xml:space="preserve"> </w:t>
      </w:r>
      <w:r w:rsidRPr="002B30D8">
        <w:rPr>
          <w:rFonts w:ascii="Arial" w:hAnsi="Arial" w:cs="Arial"/>
          <w:color w:val="002060"/>
        </w:rPr>
        <w:t>e</w:t>
      </w:r>
      <w:r w:rsidRPr="002B30D8">
        <w:rPr>
          <w:rFonts w:ascii="Arial" w:hAnsi="Arial" w:cs="Arial"/>
          <w:color w:val="002060"/>
          <w:spacing w:val="-2"/>
        </w:rPr>
        <w:t>du</w:t>
      </w:r>
      <w:r w:rsidRPr="002B30D8">
        <w:rPr>
          <w:rFonts w:ascii="Arial" w:hAnsi="Arial" w:cs="Arial"/>
          <w:color w:val="002060"/>
        </w:rPr>
        <w:t>cation</w:t>
      </w:r>
      <w:r w:rsidRPr="002B30D8">
        <w:rPr>
          <w:rFonts w:ascii="Arial" w:hAnsi="Arial" w:cs="Arial"/>
          <w:color w:val="002060"/>
          <w:spacing w:val="40"/>
        </w:rPr>
        <w:t xml:space="preserve"> </w:t>
      </w:r>
      <w:r w:rsidRPr="002B30D8">
        <w:rPr>
          <w:rFonts w:ascii="Arial" w:hAnsi="Arial" w:cs="Arial"/>
          <w:color w:val="002060"/>
          <w:spacing w:val="-2"/>
        </w:rPr>
        <w:t>a</w:t>
      </w:r>
      <w:r w:rsidRPr="002B30D8">
        <w:rPr>
          <w:rFonts w:ascii="Arial" w:hAnsi="Arial" w:cs="Arial"/>
          <w:color w:val="002060"/>
        </w:rPr>
        <w:t>nd</w:t>
      </w:r>
      <w:r w:rsidRPr="002B30D8">
        <w:rPr>
          <w:rFonts w:ascii="Arial" w:hAnsi="Arial" w:cs="Arial"/>
          <w:color w:val="002060"/>
          <w:spacing w:val="40"/>
        </w:rPr>
        <w:t xml:space="preserve"> </w:t>
      </w:r>
      <w:r w:rsidRPr="002B30D8">
        <w:rPr>
          <w:rFonts w:ascii="Arial" w:hAnsi="Arial" w:cs="Arial"/>
          <w:color w:val="002060"/>
        </w:rPr>
        <w:t>tra</w:t>
      </w:r>
      <w:r w:rsidRPr="002B30D8">
        <w:rPr>
          <w:rFonts w:ascii="Arial" w:hAnsi="Arial" w:cs="Arial"/>
          <w:color w:val="002060"/>
          <w:spacing w:val="-3"/>
        </w:rPr>
        <w:t>i</w:t>
      </w:r>
      <w:r w:rsidRPr="002B30D8">
        <w:rPr>
          <w:rFonts w:ascii="Arial" w:hAnsi="Arial" w:cs="Arial"/>
          <w:color w:val="002060"/>
        </w:rPr>
        <w:t>ning of all our health care professionals   :</w:t>
      </w:r>
    </w:p>
    <w:p w14:paraId="1EB1AEFE" w14:textId="77777777" w:rsidR="008502BD" w:rsidRPr="002B30D8" w:rsidRDefault="008502BD" w:rsidP="00355A44">
      <w:pPr>
        <w:numPr>
          <w:ilvl w:val="0"/>
          <w:numId w:val="14"/>
        </w:numPr>
        <w:ind w:left="302"/>
        <w:rPr>
          <w:rFonts w:ascii="Arial" w:hAnsi="Arial" w:cs="Arial"/>
          <w:color w:val="002060"/>
        </w:rPr>
      </w:pPr>
      <w:r w:rsidRPr="002B30D8">
        <w:rPr>
          <w:rFonts w:ascii="Arial" w:hAnsi="Arial" w:cs="Arial"/>
          <w:color w:val="002060"/>
        </w:rPr>
        <w:t>University of Glasgow</w:t>
      </w:r>
    </w:p>
    <w:p w14:paraId="2192F7A7" w14:textId="77777777" w:rsidR="008502BD" w:rsidRPr="002B30D8" w:rsidRDefault="008502BD" w:rsidP="00355A44">
      <w:pPr>
        <w:numPr>
          <w:ilvl w:val="0"/>
          <w:numId w:val="14"/>
        </w:numPr>
        <w:ind w:left="302"/>
        <w:rPr>
          <w:rFonts w:ascii="Arial" w:hAnsi="Arial" w:cs="Arial"/>
          <w:color w:val="002060"/>
        </w:rPr>
      </w:pPr>
      <w:r w:rsidRPr="002B30D8">
        <w:rPr>
          <w:rFonts w:ascii="Arial" w:hAnsi="Arial" w:cs="Arial"/>
          <w:color w:val="002060"/>
        </w:rPr>
        <w:lastRenderedPageBreak/>
        <w:t>Glasgow Caledonian University</w:t>
      </w:r>
    </w:p>
    <w:p w14:paraId="1E33900C" w14:textId="77777777" w:rsidR="008502BD" w:rsidRPr="002B30D8" w:rsidRDefault="008502BD" w:rsidP="00355A44">
      <w:pPr>
        <w:numPr>
          <w:ilvl w:val="0"/>
          <w:numId w:val="14"/>
        </w:numPr>
        <w:ind w:left="302"/>
        <w:rPr>
          <w:rFonts w:ascii="Arial" w:hAnsi="Arial" w:cs="Arial"/>
          <w:color w:val="002060"/>
        </w:rPr>
      </w:pPr>
      <w:r w:rsidRPr="002B30D8">
        <w:rPr>
          <w:rFonts w:ascii="Arial" w:hAnsi="Arial" w:cs="Arial"/>
          <w:color w:val="002060"/>
        </w:rPr>
        <w:t>University of Strathclyde</w:t>
      </w:r>
    </w:p>
    <w:p w14:paraId="3B29CFB0" w14:textId="77777777" w:rsidR="008502BD" w:rsidRPr="002B30D8" w:rsidRDefault="008502BD" w:rsidP="00355A44">
      <w:pPr>
        <w:numPr>
          <w:ilvl w:val="0"/>
          <w:numId w:val="14"/>
        </w:numPr>
        <w:ind w:left="302"/>
        <w:rPr>
          <w:rFonts w:ascii="Arial" w:hAnsi="Arial" w:cs="Arial"/>
          <w:color w:val="002060"/>
        </w:rPr>
      </w:pPr>
      <w:r w:rsidRPr="002B30D8">
        <w:rPr>
          <w:rFonts w:ascii="Arial" w:hAnsi="Arial" w:cs="Arial"/>
          <w:color w:val="002060"/>
        </w:rPr>
        <w:t>The University of the West of Scotland</w:t>
      </w:r>
    </w:p>
    <w:p w14:paraId="4E1156AC" w14:textId="77777777" w:rsidR="008502BD" w:rsidRPr="002B30D8" w:rsidRDefault="008502BD" w:rsidP="00067415">
      <w:pPr>
        <w:spacing w:before="300" w:after="300"/>
        <w:jc w:val="both"/>
        <w:rPr>
          <w:rFonts w:ascii="Arial" w:hAnsi="Arial" w:cs="Arial"/>
          <w:color w:val="002060"/>
        </w:rPr>
      </w:pPr>
      <w:r w:rsidRPr="002B30D8">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2B30D8" w:rsidRDefault="008502BD" w:rsidP="00067415">
      <w:pPr>
        <w:spacing w:before="300" w:after="300"/>
        <w:jc w:val="both"/>
        <w:rPr>
          <w:rFonts w:ascii="Arial" w:hAnsi="Arial" w:cs="Arial"/>
          <w:color w:val="002060"/>
        </w:rPr>
      </w:pPr>
      <w:r w:rsidRPr="002B30D8">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2B30D8">
        <w:rPr>
          <w:rFonts w:ascii="Arial" w:hAnsi="Arial" w:cs="Arial"/>
          <w:color w:val="002060"/>
        </w:rPr>
        <w:t>Dunbartonshire .</w:t>
      </w:r>
      <w:proofErr w:type="gramEnd"/>
      <w:r w:rsidRPr="002B30D8">
        <w:rPr>
          <w:rFonts w:ascii="Arial" w:hAnsi="Arial" w:cs="Arial"/>
          <w:color w:val="002060"/>
        </w:rPr>
        <w:t xml:space="preserve">   </w:t>
      </w:r>
    </w:p>
    <w:p w14:paraId="7726DA5F" w14:textId="77777777" w:rsidR="008502BD" w:rsidRPr="002B30D8" w:rsidRDefault="008502BD" w:rsidP="00067415">
      <w:pPr>
        <w:spacing w:before="300" w:after="300"/>
        <w:jc w:val="both"/>
        <w:rPr>
          <w:rFonts w:ascii="Arial" w:hAnsi="Arial" w:cs="Arial"/>
          <w:color w:val="002060"/>
        </w:rPr>
      </w:pPr>
      <w:r w:rsidRPr="002B30D8">
        <w:rPr>
          <w:rFonts w:ascii="Arial" w:hAnsi="Arial" w:cs="Arial"/>
          <w:color w:val="002060"/>
        </w:rPr>
        <w:t xml:space="preserve">In </w:t>
      </w:r>
      <w:proofErr w:type="gramStart"/>
      <w:r w:rsidRPr="002B30D8">
        <w:rPr>
          <w:rFonts w:ascii="Arial" w:hAnsi="Arial" w:cs="Arial"/>
          <w:color w:val="002060"/>
        </w:rPr>
        <w:t>addition</w:t>
      </w:r>
      <w:proofErr w:type="gramEnd"/>
      <w:r w:rsidRPr="002B30D8">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2B30D8" w:rsidRDefault="008502BD" w:rsidP="00067415">
      <w:pPr>
        <w:pStyle w:val="BodyText"/>
        <w:ind w:right="121"/>
        <w:jc w:val="both"/>
        <w:rPr>
          <w:rFonts w:ascii="Arial" w:hAnsi="Arial" w:cs="Arial"/>
          <w:color w:val="002060"/>
          <w:sz w:val="24"/>
          <w:szCs w:val="24"/>
        </w:rPr>
      </w:pPr>
      <w:r w:rsidRPr="002B30D8">
        <w:rPr>
          <w:rFonts w:ascii="Arial" w:hAnsi="Arial" w:cs="Arial"/>
          <w:color w:val="002060"/>
          <w:sz w:val="24"/>
          <w:szCs w:val="24"/>
        </w:rPr>
        <w:t>We are committed to delivering high quality, innovative health and social care that is person-</w:t>
      </w:r>
      <w:proofErr w:type="spellStart"/>
      <w:r w:rsidRPr="002B30D8">
        <w:rPr>
          <w:rFonts w:ascii="Arial" w:hAnsi="Arial" w:cs="Arial"/>
          <w:color w:val="002060"/>
          <w:sz w:val="24"/>
          <w:szCs w:val="24"/>
        </w:rPr>
        <w:t>centred</w:t>
      </w:r>
      <w:proofErr w:type="spellEnd"/>
      <w:r w:rsidRPr="002B30D8">
        <w:rPr>
          <w:rFonts w:ascii="Arial" w:hAnsi="Arial" w:cs="Arial"/>
          <w:color w:val="002060"/>
          <w:sz w:val="24"/>
          <w:szCs w:val="24"/>
        </w:rPr>
        <w:t xml:space="preserve">. Our ambition is to be a quality-driven </w:t>
      </w:r>
      <w:proofErr w:type="spellStart"/>
      <w:r w:rsidRPr="002B30D8">
        <w:rPr>
          <w:rFonts w:ascii="Arial" w:hAnsi="Arial" w:cs="Arial"/>
          <w:color w:val="002060"/>
          <w:sz w:val="24"/>
          <w:szCs w:val="24"/>
        </w:rPr>
        <w:t>organisation</w:t>
      </w:r>
      <w:proofErr w:type="spellEnd"/>
      <w:r w:rsidRPr="002B30D8">
        <w:rPr>
          <w:rFonts w:ascii="Arial" w:hAnsi="Arial" w:cs="Arial"/>
          <w:color w:val="002060"/>
          <w:sz w:val="24"/>
          <w:szCs w:val="24"/>
        </w:rPr>
        <w:t xml:space="preserve"> that cares about people </w:t>
      </w:r>
      <w:r w:rsidRPr="002B30D8">
        <w:rPr>
          <w:rFonts w:ascii="Arial" w:hAnsi="Arial" w:cs="Arial"/>
          <w:color w:val="002060"/>
          <w:sz w:val="24"/>
          <w:szCs w:val="24"/>
          <w:lang w:val="en-GB"/>
        </w:rPr>
        <w:t>-</w:t>
      </w:r>
      <w:r w:rsidRPr="002B30D8">
        <w:rPr>
          <w:rFonts w:ascii="Arial" w:hAnsi="Arial" w:cs="Arial"/>
          <w:color w:val="002060"/>
          <w:sz w:val="24"/>
          <w:szCs w:val="24"/>
        </w:rPr>
        <w:t>patients, their relatives and carers and our staff</w:t>
      </w:r>
      <w:r w:rsidRPr="002B30D8">
        <w:rPr>
          <w:rFonts w:ascii="Arial" w:hAnsi="Arial" w:cs="Arial"/>
          <w:color w:val="002060"/>
          <w:sz w:val="24"/>
          <w:szCs w:val="24"/>
          <w:lang w:val="en-GB"/>
        </w:rPr>
        <w:t xml:space="preserve"> </w:t>
      </w:r>
      <w:r w:rsidRPr="002B30D8">
        <w:rPr>
          <w:rFonts w:ascii="Arial" w:hAnsi="Arial" w:cs="Arial"/>
          <w:color w:val="002060"/>
          <w:sz w:val="24"/>
          <w:szCs w:val="24"/>
        </w:rPr>
        <w:t xml:space="preserve">and is </w:t>
      </w:r>
      <w:proofErr w:type="spellStart"/>
      <w:r w:rsidRPr="002B30D8">
        <w:rPr>
          <w:rFonts w:ascii="Arial" w:hAnsi="Arial" w:cs="Arial"/>
          <w:color w:val="002060"/>
          <w:sz w:val="24"/>
          <w:szCs w:val="24"/>
        </w:rPr>
        <w:t>focussed</w:t>
      </w:r>
      <w:proofErr w:type="spellEnd"/>
      <w:r w:rsidRPr="002B30D8">
        <w:rPr>
          <w:rFonts w:ascii="Arial" w:hAnsi="Arial" w:cs="Arial"/>
          <w:color w:val="002060"/>
          <w:sz w:val="24"/>
          <w:szCs w:val="24"/>
        </w:rPr>
        <w:t xml:space="preserve"> on achieving a healthier life for all.</w:t>
      </w:r>
    </w:p>
    <w:p w14:paraId="605A0062" w14:textId="77777777" w:rsidR="008502BD" w:rsidRPr="002B30D8" w:rsidRDefault="00E30E13" w:rsidP="00067415">
      <w:pPr>
        <w:spacing w:before="300" w:after="300"/>
        <w:rPr>
          <w:rFonts w:ascii="Arial" w:hAnsi="Arial" w:cs="Arial"/>
          <w:color w:val="002060"/>
        </w:rPr>
      </w:pPr>
      <w:r w:rsidRPr="002B30D8">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B30D8">
        <w:rPr>
          <w:rFonts w:ascii="Arial" w:hAnsi="Arial" w:cs="Arial"/>
          <w:color w:val="002060"/>
        </w:rPr>
        <w:t>NHS Greater Glasgow and Clyde provides services through 6000 beds across:</w:t>
      </w:r>
    </w:p>
    <w:p w14:paraId="77CD93B4" w14:textId="77777777" w:rsidR="008502BD" w:rsidRPr="002B30D8" w:rsidRDefault="008502BD" w:rsidP="00355A44">
      <w:pPr>
        <w:numPr>
          <w:ilvl w:val="0"/>
          <w:numId w:val="9"/>
        </w:numPr>
        <w:ind w:left="490"/>
        <w:rPr>
          <w:rFonts w:ascii="Arial" w:hAnsi="Arial" w:cs="Arial"/>
          <w:color w:val="002060"/>
        </w:rPr>
      </w:pPr>
      <w:r w:rsidRPr="002B30D8">
        <w:rPr>
          <w:rFonts w:ascii="Arial" w:hAnsi="Arial" w:cs="Arial"/>
          <w:color w:val="002060"/>
        </w:rPr>
        <w:t>9 acute inpatient sites</w:t>
      </w:r>
    </w:p>
    <w:p w14:paraId="24A85402" w14:textId="77777777" w:rsidR="008502BD" w:rsidRPr="002B30D8" w:rsidRDefault="008502BD" w:rsidP="00355A44">
      <w:pPr>
        <w:numPr>
          <w:ilvl w:val="0"/>
          <w:numId w:val="9"/>
        </w:numPr>
        <w:ind w:left="490"/>
        <w:rPr>
          <w:rFonts w:ascii="Arial" w:hAnsi="Arial" w:cs="Arial"/>
          <w:color w:val="002060"/>
        </w:rPr>
      </w:pPr>
      <w:r w:rsidRPr="002B30D8">
        <w:rPr>
          <w:rFonts w:ascii="Arial" w:hAnsi="Arial" w:cs="Arial"/>
          <w:color w:val="002060"/>
        </w:rPr>
        <w:t>The Beatson West of Scotland Cancer Centre</w:t>
      </w:r>
    </w:p>
    <w:p w14:paraId="68AB8EB1" w14:textId="77777777" w:rsidR="008502BD" w:rsidRPr="002B30D8" w:rsidRDefault="008502BD" w:rsidP="00355A44">
      <w:pPr>
        <w:numPr>
          <w:ilvl w:val="0"/>
          <w:numId w:val="9"/>
        </w:numPr>
        <w:ind w:left="490"/>
        <w:rPr>
          <w:rFonts w:ascii="Arial" w:hAnsi="Arial" w:cs="Arial"/>
          <w:color w:val="002060"/>
        </w:rPr>
      </w:pPr>
      <w:r w:rsidRPr="002B30D8">
        <w:rPr>
          <w:rFonts w:ascii="Arial" w:hAnsi="Arial" w:cs="Arial"/>
          <w:color w:val="002060"/>
        </w:rPr>
        <w:t>61 health centres and clinics</w:t>
      </w:r>
    </w:p>
    <w:p w14:paraId="188DFE76" w14:textId="77777777" w:rsidR="008502BD" w:rsidRPr="002B30D8" w:rsidRDefault="008502BD" w:rsidP="00355A44">
      <w:pPr>
        <w:numPr>
          <w:ilvl w:val="0"/>
          <w:numId w:val="9"/>
        </w:numPr>
        <w:ind w:left="490"/>
        <w:rPr>
          <w:rFonts w:ascii="Arial" w:hAnsi="Arial" w:cs="Arial"/>
          <w:color w:val="002060"/>
        </w:rPr>
      </w:pPr>
      <w:r w:rsidRPr="002B30D8">
        <w:rPr>
          <w:rFonts w:ascii="Arial" w:hAnsi="Arial" w:cs="Arial"/>
          <w:color w:val="002060"/>
        </w:rPr>
        <w:t>10 Mental Health Inpatient sites</w:t>
      </w:r>
    </w:p>
    <w:p w14:paraId="1A67A666" w14:textId="77777777" w:rsidR="008502BD" w:rsidRPr="002B30D8" w:rsidRDefault="008502BD" w:rsidP="00355A44">
      <w:pPr>
        <w:numPr>
          <w:ilvl w:val="0"/>
          <w:numId w:val="9"/>
        </w:numPr>
        <w:ind w:left="490"/>
        <w:rPr>
          <w:rFonts w:ascii="Arial" w:hAnsi="Arial" w:cs="Arial"/>
          <w:color w:val="002060"/>
        </w:rPr>
      </w:pPr>
      <w:r w:rsidRPr="002B30D8">
        <w:rPr>
          <w:rFonts w:ascii="Arial" w:hAnsi="Arial" w:cs="Arial"/>
          <w:color w:val="002060"/>
        </w:rPr>
        <w:t>6 Mental health long stay rehabilitation sites</w:t>
      </w:r>
    </w:p>
    <w:p w14:paraId="15674D02" w14:textId="77777777" w:rsidR="008502BD" w:rsidRPr="002B30D8" w:rsidRDefault="008502BD" w:rsidP="00067415">
      <w:pPr>
        <w:spacing w:before="300" w:after="300"/>
        <w:rPr>
          <w:rFonts w:ascii="Arial" w:hAnsi="Arial" w:cs="Arial"/>
          <w:color w:val="002060"/>
        </w:rPr>
      </w:pPr>
      <w:r w:rsidRPr="002B30D8">
        <w:rPr>
          <w:rFonts w:ascii="Arial" w:hAnsi="Arial" w:cs="Arial"/>
          <w:color w:val="002060"/>
        </w:rPr>
        <w:t xml:space="preserve">Our Acute care is provided across NHS Glasgow and Clyde on a range of main sites click here to find out more   </w:t>
      </w:r>
      <w:hyperlink r:id="rId33" w:history="1">
        <w:r w:rsidRPr="002B30D8">
          <w:rPr>
            <w:rStyle w:val="Hyperlink"/>
            <w:rFonts w:ascii="Arial" w:hAnsi="Arial" w:cs="Arial"/>
            <w:b/>
            <w:color w:val="002060"/>
          </w:rPr>
          <w:t>https://www.nhsggc.org.uk/locations/hospitals/</w:t>
        </w:r>
      </w:hyperlink>
      <w:r w:rsidRPr="002B30D8">
        <w:rPr>
          <w:rFonts w:ascii="Arial" w:hAnsi="Arial" w:cs="Arial"/>
          <w:b/>
          <w:color w:val="002060"/>
        </w:rPr>
        <w:t xml:space="preserve">  </w:t>
      </w:r>
    </w:p>
    <w:p w14:paraId="3701F0D0" w14:textId="77777777" w:rsidR="008502BD" w:rsidRPr="002B30D8" w:rsidRDefault="00000000" w:rsidP="00355A44">
      <w:pPr>
        <w:numPr>
          <w:ilvl w:val="0"/>
          <w:numId w:val="10"/>
        </w:numPr>
        <w:ind w:left="490"/>
        <w:rPr>
          <w:rFonts w:ascii="Arial" w:hAnsi="Arial" w:cs="Arial"/>
          <w:color w:val="002060"/>
        </w:rPr>
      </w:pPr>
      <w:hyperlink r:id="rId34" w:tooltip="Beatson West of Scotland Cancer Centre" w:history="1">
        <w:r w:rsidR="008502BD" w:rsidRPr="002B30D8">
          <w:rPr>
            <w:rFonts w:ascii="Arial" w:hAnsi="Arial" w:cs="Arial"/>
            <w:bCs/>
            <w:color w:val="002060"/>
          </w:rPr>
          <w:t>Beatson West of Scotland Cancer Centre</w:t>
        </w:r>
      </w:hyperlink>
    </w:p>
    <w:p w14:paraId="6080200C" w14:textId="77777777" w:rsidR="008502BD" w:rsidRPr="002B30D8" w:rsidRDefault="00000000" w:rsidP="00355A44">
      <w:pPr>
        <w:numPr>
          <w:ilvl w:val="0"/>
          <w:numId w:val="10"/>
        </w:numPr>
        <w:ind w:left="490"/>
        <w:rPr>
          <w:rFonts w:ascii="Arial" w:hAnsi="Arial" w:cs="Arial"/>
          <w:color w:val="002060"/>
        </w:rPr>
      </w:pPr>
      <w:hyperlink r:id="rId35" w:tooltip="Gartnavel General Hospital" w:history="1">
        <w:proofErr w:type="spellStart"/>
        <w:r w:rsidR="008502BD" w:rsidRPr="002B30D8">
          <w:rPr>
            <w:rFonts w:ascii="Arial" w:hAnsi="Arial" w:cs="Arial"/>
            <w:bCs/>
            <w:color w:val="002060"/>
          </w:rPr>
          <w:t>Gartnavel</w:t>
        </w:r>
        <w:proofErr w:type="spellEnd"/>
        <w:r w:rsidR="008502BD" w:rsidRPr="002B30D8">
          <w:rPr>
            <w:rFonts w:ascii="Arial" w:hAnsi="Arial" w:cs="Arial"/>
            <w:bCs/>
            <w:color w:val="002060"/>
          </w:rPr>
          <w:t xml:space="preserve"> General Hospital</w:t>
        </w:r>
      </w:hyperlink>
    </w:p>
    <w:p w14:paraId="2E5A46F3" w14:textId="77777777" w:rsidR="008502BD" w:rsidRPr="002B30D8" w:rsidRDefault="00000000" w:rsidP="00355A44">
      <w:pPr>
        <w:numPr>
          <w:ilvl w:val="0"/>
          <w:numId w:val="10"/>
        </w:numPr>
        <w:ind w:left="490"/>
        <w:rPr>
          <w:rFonts w:ascii="Arial" w:hAnsi="Arial" w:cs="Arial"/>
          <w:color w:val="002060"/>
        </w:rPr>
      </w:pPr>
      <w:hyperlink r:id="rId36" w:tooltip="Glasgow Royal Infirmary" w:history="1">
        <w:r w:rsidR="008502BD" w:rsidRPr="002B30D8">
          <w:rPr>
            <w:rFonts w:ascii="Arial" w:hAnsi="Arial" w:cs="Arial"/>
            <w:bCs/>
            <w:color w:val="002060"/>
          </w:rPr>
          <w:t>Glasgow Royal Infirmary</w:t>
        </w:r>
      </w:hyperlink>
    </w:p>
    <w:p w14:paraId="5860A2E8" w14:textId="77777777" w:rsidR="008502BD" w:rsidRPr="002B30D8" w:rsidRDefault="00000000" w:rsidP="00355A44">
      <w:pPr>
        <w:numPr>
          <w:ilvl w:val="0"/>
          <w:numId w:val="10"/>
        </w:numPr>
        <w:ind w:left="490"/>
        <w:rPr>
          <w:rFonts w:ascii="Arial" w:hAnsi="Arial" w:cs="Arial"/>
          <w:color w:val="002060"/>
        </w:rPr>
      </w:pPr>
      <w:hyperlink r:id="rId37" w:tooltip="Inverclyde Royal Hospital" w:history="1">
        <w:r w:rsidR="008502BD" w:rsidRPr="002B30D8">
          <w:rPr>
            <w:rFonts w:ascii="Arial" w:hAnsi="Arial" w:cs="Arial"/>
            <w:bCs/>
            <w:color w:val="002060"/>
          </w:rPr>
          <w:t>Inverclyde Royal Hospital</w:t>
        </w:r>
      </w:hyperlink>
    </w:p>
    <w:p w14:paraId="0E5674D4" w14:textId="77777777" w:rsidR="008502BD" w:rsidRPr="002B30D8" w:rsidRDefault="00000000" w:rsidP="00355A44">
      <w:pPr>
        <w:numPr>
          <w:ilvl w:val="0"/>
          <w:numId w:val="10"/>
        </w:numPr>
        <w:ind w:left="490"/>
        <w:rPr>
          <w:rFonts w:ascii="Arial" w:hAnsi="Arial" w:cs="Arial"/>
          <w:color w:val="002060"/>
        </w:rPr>
      </w:pPr>
      <w:hyperlink r:id="rId38" w:tooltip="Lightburn Hospital" w:history="1">
        <w:r w:rsidR="008502BD" w:rsidRPr="002B30D8">
          <w:rPr>
            <w:rFonts w:ascii="Arial" w:hAnsi="Arial" w:cs="Arial"/>
            <w:bCs/>
            <w:color w:val="002060"/>
          </w:rPr>
          <w:t>Lightburn Hospital</w:t>
        </w:r>
      </w:hyperlink>
    </w:p>
    <w:p w14:paraId="25CC94A0" w14:textId="77777777" w:rsidR="008502BD" w:rsidRPr="002B30D8" w:rsidRDefault="00000000" w:rsidP="00355A44">
      <w:pPr>
        <w:numPr>
          <w:ilvl w:val="0"/>
          <w:numId w:val="10"/>
        </w:numPr>
        <w:ind w:left="490"/>
        <w:rPr>
          <w:rFonts w:ascii="Arial" w:hAnsi="Arial" w:cs="Arial"/>
          <w:color w:val="002060"/>
        </w:rPr>
      </w:pPr>
      <w:hyperlink r:id="rId39" w:tooltip="Queen Elizabeth University Hospital" w:history="1">
        <w:r w:rsidR="008502BD" w:rsidRPr="002B30D8">
          <w:rPr>
            <w:rFonts w:ascii="Arial" w:hAnsi="Arial" w:cs="Arial"/>
            <w:bCs/>
            <w:color w:val="002060"/>
          </w:rPr>
          <w:t>Queen Elizabeth University Hospital</w:t>
        </w:r>
      </w:hyperlink>
      <w:r w:rsidR="008502BD" w:rsidRPr="002B30D8">
        <w:rPr>
          <w:rFonts w:ascii="Arial" w:hAnsi="Arial" w:cs="Arial"/>
          <w:color w:val="002060"/>
        </w:rPr>
        <w:t xml:space="preserve"> </w:t>
      </w:r>
    </w:p>
    <w:p w14:paraId="346E8D07" w14:textId="77777777" w:rsidR="008502BD" w:rsidRPr="002B30D8" w:rsidRDefault="00000000" w:rsidP="00355A44">
      <w:pPr>
        <w:numPr>
          <w:ilvl w:val="0"/>
          <w:numId w:val="10"/>
        </w:numPr>
        <w:ind w:left="490"/>
        <w:rPr>
          <w:rFonts w:ascii="Arial" w:hAnsi="Arial" w:cs="Arial"/>
          <w:color w:val="002060"/>
        </w:rPr>
      </w:pPr>
      <w:hyperlink r:id="rId40" w:tooltip="Royal Hospital for Children" w:history="1">
        <w:r w:rsidR="008502BD" w:rsidRPr="002B30D8">
          <w:rPr>
            <w:rFonts w:ascii="Arial" w:hAnsi="Arial" w:cs="Arial"/>
            <w:bCs/>
            <w:color w:val="002060"/>
          </w:rPr>
          <w:t xml:space="preserve">Royal Hospital for Children </w:t>
        </w:r>
      </w:hyperlink>
    </w:p>
    <w:p w14:paraId="1025034A" w14:textId="77777777" w:rsidR="008502BD" w:rsidRPr="002B30D8" w:rsidRDefault="008502BD" w:rsidP="00355A44">
      <w:pPr>
        <w:numPr>
          <w:ilvl w:val="0"/>
          <w:numId w:val="10"/>
        </w:numPr>
        <w:ind w:left="490"/>
        <w:rPr>
          <w:rFonts w:ascii="Arial" w:hAnsi="Arial" w:cs="Arial"/>
          <w:color w:val="002060"/>
        </w:rPr>
      </w:pPr>
      <w:r w:rsidRPr="002B30D8">
        <w:rPr>
          <w:rFonts w:ascii="Arial" w:hAnsi="Arial" w:cs="Arial"/>
          <w:color w:val="002060"/>
        </w:rPr>
        <w:t xml:space="preserve">The Institute of Neurological Sciences </w:t>
      </w:r>
    </w:p>
    <w:p w14:paraId="76FBD4C4" w14:textId="77777777" w:rsidR="008502BD" w:rsidRPr="002B30D8" w:rsidRDefault="008502BD" w:rsidP="00355A44">
      <w:pPr>
        <w:numPr>
          <w:ilvl w:val="0"/>
          <w:numId w:val="10"/>
        </w:numPr>
        <w:ind w:left="490"/>
        <w:rPr>
          <w:rFonts w:ascii="Arial" w:hAnsi="Arial" w:cs="Arial"/>
          <w:color w:val="002060"/>
        </w:rPr>
      </w:pPr>
      <w:r w:rsidRPr="002B30D8">
        <w:rPr>
          <w:rFonts w:ascii="Arial" w:hAnsi="Arial" w:cs="Arial"/>
          <w:color w:val="002060"/>
        </w:rPr>
        <w:t xml:space="preserve">Princess Royal Maternity Hospital </w:t>
      </w:r>
    </w:p>
    <w:p w14:paraId="361E6DD2" w14:textId="77777777" w:rsidR="008502BD" w:rsidRPr="002B30D8" w:rsidRDefault="00000000" w:rsidP="00355A44">
      <w:pPr>
        <w:numPr>
          <w:ilvl w:val="0"/>
          <w:numId w:val="10"/>
        </w:numPr>
        <w:ind w:left="490"/>
        <w:rPr>
          <w:rFonts w:ascii="Arial" w:hAnsi="Arial" w:cs="Arial"/>
          <w:color w:val="002060"/>
        </w:rPr>
      </w:pPr>
      <w:hyperlink r:id="rId41" w:tooltip="Royal Alexandra Hospital" w:history="1">
        <w:r w:rsidR="008502BD" w:rsidRPr="002B30D8">
          <w:rPr>
            <w:rFonts w:ascii="Arial" w:hAnsi="Arial" w:cs="Arial"/>
            <w:bCs/>
            <w:color w:val="002060"/>
          </w:rPr>
          <w:t>Royal Alexandra Hospital</w:t>
        </w:r>
      </w:hyperlink>
    </w:p>
    <w:p w14:paraId="4867ECA0" w14:textId="77777777" w:rsidR="008502BD" w:rsidRPr="002B30D8" w:rsidRDefault="00000000" w:rsidP="00355A44">
      <w:pPr>
        <w:numPr>
          <w:ilvl w:val="0"/>
          <w:numId w:val="10"/>
        </w:numPr>
        <w:ind w:left="490"/>
        <w:rPr>
          <w:rFonts w:ascii="Arial" w:hAnsi="Arial" w:cs="Arial"/>
          <w:color w:val="002060"/>
        </w:rPr>
      </w:pPr>
      <w:hyperlink r:id="rId42" w:tooltip="Vale of Leven Hospital" w:history="1">
        <w:r w:rsidR="008502BD" w:rsidRPr="002B30D8">
          <w:rPr>
            <w:rFonts w:ascii="Arial" w:hAnsi="Arial" w:cs="Arial"/>
            <w:bCs/>
            <w:color w:val="002060"/>
          </w:rPr>
          <w:t>Vale of Leven Hospital</w:t>
        </w:r>
      </w:hyperlink>
    </w:p>
    <w:p w14:paraId="55EDA013" w14:textId="77777777" w:rsidR="008502BD" w:rsidRPr="002B30D8" w:rsidRDefault="008502BD" w:rsidP="00067415">
      <w:pPr>
        <w:spacing w:before="300" w:after="300"/>
        <w:rPr>
          <w:rFonts w:ascii="Arial" w:hAnsi="Arial" w:cs="Arial"/>
          <w:color w:val="002060"/>
        </w:rPr>
      </w:pPr>
      <w:r w:rsidRPr="002B30D8">
        <w:rPr>
          <w:rFonts w:ascii="Arial" w:hAnsi="Arial" w:cs="Arial"/>
          <w:color w:val="002060"/>
        </w:rPr>
        <w:t>3 Ambulatory care hospitals are located at:</w:t>
      </w:r>
    </w:p>
    <w:p w14:paraId="1822CC9A" w14:textId="77777777" w:rsidR="008502BD" w:rsidRPr="002B30D8" w:rsidRDefault="00000000" w:rsidP="00067415">
      <w:pPr>
        <w:numPr>
          <w:ilvl w:val="0"/>
          <w:numId w:val="15"/>
        </w:numPr>
        <w:rPr>
          <w:rFonts w:ascii="Arial" w:hAnsi="Arial" w:cs="Arial"/>
          <w:color w:val="002060"/>
        </w:rPr>
      </w:pPr>
      <w:hyperlink r:id="rId43" w:tooltip="New Stobhill Hospital" w:history="1">
        <w:r w:rsidR="008502BD" w:rsidRPr="002B30D8">
          <w:rPr>
            <w:rFonts w:ascii="Arial" w:hAnsi="Arial" w:cs="Arial"/>
            <w:bCs/>
            <w:color w:val="002060"/>
          </w:rPr>
          <w:t>New Stobhill Hospital</w:t>
        </w:r>
      </w:hyperlink>
    </w:p>
    <w:p w14:paraId="0A0FDF4E" w14:textId="77777777" w:rsidR="008502BD" w:rsidRPr="002B30D8" w:rsidRDefault="00000000" w:rsidP="00067415">
      <w:pPr>
        <w:numPr>
          <w:ilvl w:val="0"/>
          <w:numId w:val="15"/>
        </w:numPr>
        <w:rPr>
          <w:rFonts w:ascii="Arial" w:hAnsi="Arial" w:cs="Arial"/>
          <w:color w:val="002060"/>
        </w:rPr>
      </w:pPr>
      <w:hyperlink r:id="rId44" w:tooltip="New Victoria Hospital" w:history="1">
        <w:r w:rsidR="008502BD" w:rsidRPr="002B30D8">
          <w:rPr>
            <w:rFonts w:ascii="Arial" w:hAnsi="Arial" w:cs="Arial"/>
            <w:bCs/>
            <w:color w:val="002060"/>
          </w:rPr>
          <w:t xml:space="preserve">New Victoria Hospital </w:t>
        </w:r>
      </w:hyperlink>
    </w:p>
    <w:p w14:paraId="1DF65F06" w14:textId="77777777" w:rsidR="008502BD" w:rsidRPr="002B30D8" w:rsidRDefault="00000000" w:rsidP="00067415">
      <w:pPr>
        <w:numPr>
          <w:ilvl w:val="0"/>
          <w:numId w:val="15"/>
        </w:numPr>
        <w:rPr>
          <w:rFonts w:ascii="Arial" w:hAnsi="Arial" w:cs="Arial"/>
          <w:color w:val="002060"/>
        </w:rPr>
      </w:pPr>
      <w:hyperlink r:id="rId45" w:tgtFrame="_blank" w:tooltip="West Glasgow Ambulatory Care Hospital" w:history="1">
        <w:r w:rsidR="008502BD" w:rsidRPr="002B30D8">
          <w:rPr>
            <w:rFonts w:ascii="Arial" w:hAnsi="Arial" w:cs="Arial"/>
            <w:bCs/>
            <w:color w:val="002060"/>
          </w:rPr>
          <w:t>West Glasgow Ambulatory Care Hospital</w:t>
        </w:r>
      </w:hyperlink>
    </w:p>
    <w:p w14:paraId="0FA818B0" w14:textId="77777777" w:rsidR="008502BD" w:rsidRPr="002B30D8" w:rsidRDefault="008502BD" w:rsidP="00067415">
      <w:pPr>
        <w:spacing w:before="300" w:beforeAutospacing="1" w:after="300"/>
        <w:jc w:val="both"/>
        <w:rPr>
          <w:rFonts w:ascii="Arial" w:hAnsi="Arial" w:cs="Arial"/>
          <w:color w:val="002060"/>
        </w:rPr>
      </w:pPr>
      <w:r w:rsidRPr="002B30D8">
        <w:rPr>
          <w:rFonts w:ascii="Arial" w:hAnsi="Arial" w:cs="Arial"/>
          <w:color w:val="002060"/>
        </w:rPr>
        <w:t xml:space="preserve">Each year we deliver around 170,000 emergency medical and 62,000 emergency surgical episodes and 165,000 day cases. We continue to operate one of the busiest </w:t>
      </w:r>
      <w:r w:rsidRPr="002B30D8">
        <w:rPr>
          <w:rFonts w:ascii="Arial" w:hAnsi="Arial" w:cs="Arial"/>
          <w:color w:val="002060"/>
        </w:rPr>
        <w:lastRenderedPageBreak/>
        <w:t>A&amp;E/minor injuries units in the UK with 455,000 attendances. We deliver 400,000 new outpatient attendances.</w:t>
      </w:r>
    </w:p>
    <w:p w14:paraId="3EC7D18F" w14:textId="77777777" w:rsidR="008502BD" w:rsidRPr="002B30D8" w:rsidRDefault="008502BD" w:rsidP="00067415">
      <w:pPr>
        <w:spacing w:before="300" w:after="300"/>
        <w:jc w:val="both"/>
        <w:rPr>
          <w:rFonts w:ascii="Arial" w:hAnsi="Arial" w:cs="Arial"/>
          <w:color w:val="002060"/>
        </w:rPr>
      </w:pPr>
      <w:r w:rsidRPr="002B30D8">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2B30D8" w:rsidRDefault="008502BD" w:rsidP="00067415">
      <w:pPr>
        <w:spacing w:before="300" w:after="300"/>
        <w:rPr>
          <w:rFonts w:ascii="Arial" w:hAnsi="Arial" w:cs="Arial"/>
          <w:b/>
          <w:color w:val="002060"/>
        </w:rPr>
      </w:pPr>
      <w:r w:rsidRPr="002B30D8">
        <w:rPr>
          <w:rFonts w:ascii="Arial" w:hAnsi="Arial" w:cs="Arial"/>
          <w:b/>
          <w:color w:val="002060"/>
        </w:rPr>
        <w:t xml:space="preserve">NHS Greater Glasgow and Clyde Medical Workforce Plans </w:t>
      </w:r>
    </w:p>
    <w:p w14:paraId="4A847022" w14:textId="77777777" w:rsidR="008502BD" w:rsidRPr="002B30D8" w:rsidRDefault="00E30E13" w:rsidP="00067415">
      <w:pPr>
        <w:pStyle w:val="NormalWeb"/>
        <w:rPr>
          <w:rFonts w:ascii="Arial" w:hAnsi="Arial" w:cs="Arial"/>
          <w:b/>
          <w:color w:val="002060"/>
        </w:rPr>
      </w:pPr>
      <w:r w:rsidRPr="002B30D8">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B30D8">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2B30D8">
        <w:rPr>
          <w:rFonts w:ascii="Arial" w:hAnsi="Arial" w:cs="Arial"/>
          <w:color w:val="002060"/>
        </w:rPr>
        <w:t>Professionals</w:t>
      </w:r>
      <w:proofErr w:type="gramEnd"/>
      <w:r w:rsidR="008502BD" w:rsidRPr="002B30D8">
        <w:rPr>
          <w:rFonts w:ascii="Arial" w:hAnsi="Arial" w:cs="Arial"/>
          <w:color w:val="002060"/>
        </w:rPr>
        <w:t xml:space="preserve"> and all other NHS staff groups. For more information on the </w:t>
      </w:r>
      <w:hyperlink r:id="rId46" w:tooltip="NHSGGC Acute Medical Staff Workforce Plan.pdf" w:history="1">
        <w:r w:rsidR="008502BD" w:rsidRPr="002B30D8">
          <w:rPr>
            <w:rStyle w:val="Strong"/>
            <w:rFonts w:ascii="Arial" w:hAnsi="Arial" w:cs="Arial"/>
            <w:color w:val="002060"/>
          </w:rPr>
          <w:t>Acute Services Medical Workforce Plan</w:t>
        </w:r>
      </w:hyperlink>
      <w:r w:rsidR="008502BD" w:rsidRPr="002B30D8">
        <w:rPr>
          <w:rFonts w:ascii="Arial" w:hAnsi="Arial" w:cs="Arial"/>
          <w:color w:val="002060"/>
        </w:rPr>
        <w:t xml:space="preserve">, </w:t>
      </w:r>
      <w:hyperlink r:id="rId47" w:tooltip="Mental Health Services.docx" w:history="1">
        <w:r w:rsidR="008502BD" w:rsidRPr="002B30D8">
          <w:rPr>
            <w:rStyle w:val="Strong"/>
            <w:rFonts w:ascii="Arial" w:hAnsi="Arial" w:cs="Arial"/>
            <w:color w:val="002060"/>
          </w:rPr>
          <w:t>Mental Health Services Medical Workforce Plan</w:t>
        </w:r>
      </w:hyperlink>
      <w:r w:rsidR="008502BD" w:rsidRPr="002B30D8">
        <w:rPr>
          <w:rFonts w:ascii="Arial" w:hAnsi="Arial" w:cs="Arial"/>
          <w:color w:val="002060"/>
        </w:rPr>
        <w:t xml:space="preserve"> and  the </w:t>
      </w:r>
      <w:hyperlink r:id="rId48" w:tooltip="Oral Health Services.docx" w:history="1">
        <w:r w:rsidR="008502BD" w:rsidRPr="002B30D8">
          <w:rPr>
            <w:rStyle w:val="Strong"/>
            <w:rFonts w:ascii="Arial" w:hAnsi="Arial" w:cs="Arial"/>
            <w:color w:val="002060"/>
          </w:rPr>
          <w:t>Oral Health (Dentist) Workforce Plan</w:t>
        </w:r>
      </w:hyperlink>
      <w:r w:rsidR="008502BD" w:rsidRPr="002B30D8">
        <w:rPr>
          <w:rFonts w:ascii="Arial" w:hAnsi="Arial" w:cs="Arial"/>
          <w:color w:val="002060"/>
        </w:rPr>
        <w:t xml:space="preserve"> please visit </w:t>
      </w:r>
      <w:hyperlink r:id="rId49" w:history="1">
        <w:r w:rsidR="008502BD" w:rsidRPr="002B30D8">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2B30D8" w:rsidRDefault="008502BD" w:rsidP="00067415">
      <w:pPr>
        <w:spacing w:before="300" w:after="300"/>
        <w:outlineLvl w:val="0"/>
        <w:rPr>
          <w:rFonts w:ascii="Arial" w:hAnsi="Arial" w:cs="Arial"/>
          <w:b/>
          <w:bCs/>
          <w:color w:val="002060"/>
          <w:kern w:val="36"/>
        </w:rPr>
      </w:pPr>
      <w:r w:rsidRPr="002B30D8">
        <w:rPr>
          <w:rFonts w:ascii="Arial" w:hAnsi="Arial" w:cs="Arial"/>
          <w:b/>
          <w:bCs/>
          <w:color w:val="002060"/>
          <w:kern w:val="36"/>
        </w:rPr>
        <w:t>Our Culture and Values</w:t>
      </w:r>
    </w:p>
    <w:p w14:paraId="760E027E" w14:textId="77777777" w:rsidR="008502BD" w:rsidRPr="002B30D8" w:rsidRDefault="008502BD" w:rsidP="00067415">
      <w:pPr>
        <w:spacing w:before="300" w:after="300"/>
        <w:outlineLvl w:val="0"/>
        <w:rPr>
          <w:rFonts w:ascii="Arial" w:hAnsi="Arial" w:cs="Arial"/>
          <w:bCs/>
          <w:i/>
          <w:color w:val="002060"/>
          <w:kern w:val="36"/>
        </w:rPr>
      </w:pPr>
      <w:r w:rsidRPr="002B30D8">
        <w:rPr>
          <w:rFonts w:ascii="Arial" w:hAnsi="Arial" w:cs="Arial"/>
          <w:bCs/>
          <w:i/>
          <w:color w:val="002060"/>
          <w:kern w:val="36"/>
        </w:rPr>
        <w:t>Jane Grant, Chief Executive, NHS Greater Glasgow and Clyde</w:t>
      </w:r>
    </w:p>
    <w:p w14:paraId="12828C78" w14:textId="77777777" w:rsidR="008502BD" w:rsidRPr="002B30D8" w:rsidRDefault="008502BD" w:rsidP="00067415">
      <w:pPr>
        <w:spacing w:before="300" w:after="300"/>
        <w:jc w:val="both"/>
        <w:rPr>
          <w:rFonts w:ascii="Arial" w:hAnsi="Arial" w:cs="Arial"/>
          <w:i/>
          <w:color w:val="002060"/>
        </w:rPr>
      </w:pPr>
      <w:r w:rsidRPr="002B30D8">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2B30D8" w:rsidRDefault="008502BD" w:rsidP="00067415">
      <w:pPr>
        <w:spacing w:before="300" w:after="300"/>
        <w:jc w:val="both"/>
        <w:rPr>
          <w:rFonts w:ascii="Arial" w:hAnsi="Arial" w:cs="Arial"/>
          <w:i/>
          <w:color w:val="002060"/>
        </w:rPr>
      </w:pPr>
      <w:r w:rsidRPr="002B30D8">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2B30D8" w:rsidRDefault="008502BD" w:rsidP="00067415">
      <w:pPr>
        <w:spacing w:before="300" w:after="300"/>
        <w:jc w:val="both"/>
        <w:rPr>
          <w:rFonts w:ascii="Arial" w:hAnsi="Arial" w:cs="Arial"/>
          <w:i/>
          <w:color w:val="002060"/>
        </w:rPr>
      </w:pPr>
      <w:r w:rsidRPr="002B30D8">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2B30D8" w:rsidRDefault="00000000" w:rsidP="00067415">
      <w:pPr>
        <w:spacing w:before="300" w:after="300"/>
        <w:outlineLvl w:val="0"/>
        <w:rPr>
          <w:rFonts w:ascii="Arial" w:hAnsi="Arial" w:cs="Arial"/>
          <w:b/>
          <w:bCs/>
          <w:color w:val="002060"/>
          <w:kern w:val="36"/>
        </w:rPr>
      </w:pPr>
      <w:hyperlink r:id="rId50" w:history="1">
        <w:r w:rsidR="008502BD" w:rsidRPr="002B30D8">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2B30D8" w:rsidRDefault="008502BD" w:rsidP="00067415">
      <w:pPr>
        <w:tabs>
          <w:tab w:val="left" w:pos="828"/>
        </w:tabs>
        <w:kinsoku w:val="0"/>
        <w:overflowPunct w:val="0"/>
        <w:adjustRightInd w:val="0"/>
        <w:rPr>
          <w:rFonts w:ascii="Arial" w:hAnsi="Arial" w:cs="Arial"/>
          <w:b/>
          <w:color w:val="002060"/>
        </w:rPr>
      </w:pPr>
      <w:r w:rsidRPr="002B30D8">
        <w:rPr>
          <w:rFonts w:ascii="Arial" w:hAnsi="Arial" w:cs="Arial"/>
          <w:color w:val="002060"/>
          <w:spacing w:val="-1"/>
        </w:rPr>
        <w:t>For more information about NH</w:t>
      </w:r>
      <w:r w:rsidRPr="002B30D8">
        <w:rPr>
          <w:rFonts w:ascii="Arial" w:hAnsi="Arial" w:cs="Arial"/>
          <w:color w:val="002060"/>
        </w:rPr>
        <w:t>S Grea</w:t>
      </w:r>
      <w:r w:rsidRPr="002B30D8">
        <w:rPr>
          <w:rFonts w:ascii="Arial" w:hAnsi="Arial" w:cs="Arial"/>
          <w:color w:val="002060"/>
          <w:spacing w:val="-2"/>
        </w:rPr>
        <w:t>t</w:t>
      </w:r>
      <w:r w:rsidRPr="002B30D8">
        <w:rPr>
          <w:rFonts w:ascii="Arial" w:hAnsi="Arial" w:cs="Arial"/>
          <w:color w:val="002060"/>
        </w:rPr>
        <w:t>er</w:t>
      </w:r>
      <w:r w:rsidRPr="002B30D8">
        <w:rPr>
          <w:rFonts w:ascii="Arial" w:hAnsi="Arial" w:cs="Arial"/>
          <w:color w:val="002060"/>
          <w:spacing w:val="-2"/>
        </w:rPr>
        <w:t xml:space="preserve"> G</w:t>
      </w:r>
      <w:r w:rsidRPr="002B30D8">
        <w:rPr>
          <w:rFonts w:ascii="Arial" w:hAnsi="Arial" w:cs="Arial"/>
          <w:color w:val="002060"/>
        </w:rPr>
        <w:t>la</w:t>
      </w:r>
      <w:r w:rsidRPr="002B30D8">
        <w:rPr>
          <w:rFonts w:ascii="Arial" w:hAnsi="Arial" w:cs="Arial"/>
          <w:color w:val="002060"/>
          <w:spacing w:val="-1"/>
        </w:rPr>
        <w:t>s</w:t>
      </w:r>
      <w:r w:rsidRPr="002B30D8">
        <w:rPr>
          <w:rFonts w:ascii="Arial" w:hAnsi="Arial" w:cs="Arial"/>
          <w:color w:val="002060"/>
        </w:rPr>
        <w:t>g</w:t>
      </w:r>
      <w:r w:rsidRPr="002B30D8">
        <w:rPr>
          <w:rFonts w:ascii="Arial" w:hAnsi="Arial" w:cs="Arial"/>
          <w:color w:val="002060"/>
          <w:spacing w:val="-4"/>
        </w:rPr>
        <w:t>o</w:t>
      </w:r>
      <w:r w:rsidRPr="002B30D8">
        <w:rPr>
          <w:rFonts w:ascii="Arial" w:hAnsi="Arial" w:cs="Arial"/>
          <w:color w:val="002060"/>
        </w:rPr>
        <w:t>w</w:t>
      </w:r>
      <w:r w:rsidRPr="002B30D8">
        <w:rPr>
          <w:rFonts w:ascii="Arial" w:hAnsi="Arial" w:cs="Arial"/>
          <w:color w:val="002060"/>
          <w:spacing w:val="-1"/>
        </w:rPr>
        <w:t xml:space="preserve"> </w:t>
      </w:r>
      <w:r w:rsidRPr="002B30D8">
        <w:rPr>
          <w:rFonts w:ascii="Arial" w:hAnsi="Arial" w:cs="Arial"/>
          <w:color w:val="002060"/>
        </w:rPr>
        <w:t>a</w:t>
      </w:r>
      <w:r w:rsidRPr="002B30D8">
        <w:rPr>
          <w:rFonts w:ascii="Arial" w:hAnsi="Arial" w:cs="Arial"/>
          <w:color w:val="002060"/>
          <w:spacing w:val="-1"/>
        </w:rPr>
        <w:t>n</w:t>
      </w:r>
      <w:r w:rsidRPr="002B30D8">
        <w:rPr>
          <w:rFonts w:ascii="Arial" w:hAnsi="Arial" w:cs="Arial"/>
          <w:color w:val="002060"/>
        </w:rPr>
        <w:t>d Cl</w:t>
      </w:r>
      <w:r w:rsidRPr="002B30D8">
        <w:rPr>
          <w:rFonts w:ascii="Arial" w:hAnsi="Arial" w:cs="Arial"/>
          <w:color w:val="002060"/>
          <w:spacing w:val="-5"/>
        </w:rPr>
        <w:t>y</w:t>
      </w:r>
      <w:r w:rsidRPr="002B30D8">
        <w:rPr>
          <w:rFonts w:ascii="Arial" w:hAnsi="Arial" w:cs="Arial"/>
          <w:color w:val="002060"/>
        </w:rPr>
        <w:t xml:space="preserve">de please visit: </w:t>
      </w:r>
      <w:hyperlink r:id="rId51" w:history="1">
        <w:r w:rsidRPr="002B30D8">
          <w:rPr>
            <w:rStyle w:val="Hyperlink"/>
            <w:rFonts w:ascii="Arial" w:hAnsi="Arial" w:cs="Arial"/>
            <w:b/>
            <w:bCs/>
            <w:color w:val="002060"/>
          </w:rPr>
          <w:t>www.nhsggc.org.uk</w:t>
        </w:r>
      </w:hyperlink>
      <w:r w:rsidRPr="002B30D8">
        <w:rPr>
          <w:rFonts w:ascii="Arial" w:hAnsi="Arial" w:cs="Arial"/>
          <w:b/>
          <w:color w:val="002060"/>
        </w:rPr>
        <w:t xml:space="preserve">.  </w:t>
      </w:r>
    </w:p>
    <w:p w14:paraId="5E0DD9D1" w14:textId="77777777" w:rsidR="008502BD" w:rsidRPr="002B30D8" w:rsidRDefault="008502BD" w:rsidP="00067415">
      <w:pPr>
        <w:tabs>
          <w:tab w:val="left" w:pos="828"/>
        </w:tabs>
        <w:kinsoku w:val="0"/>
        <w:overflowPunct w:val="0"/>
        <w:adjustRightInd w:val="0"/>
        <w:rPr>
          <w:rFonts w:ascii="Arial" w:hAnsi="Arial" w:cs="Arial"/>
          <w:b/>
          <w:color w:val="002060"/>
        </w:rPr>
      </w:pPr>
    </w:p>
    <w:p w14:paraId="546A03B0" w14:textId="77777777" w:rsidR="008502BD" w:rsidRPr="002B30D8" w:rsidRDefault="008502BD" w:rsidP="00067415">
      <w:pPr>
        <w:tabs>
          <w:tab w:val="left" w:pos="828"/>
        </w:tabs>
        <w:kinsoku w:val="0"/>
        <w:overflowPunct w:val="0"/>
        <w:adjustRightInd w:val="0"/>
        <w:rPr>
          <w:rFonts w:ascii="Arial" w:hAnsi="Arial" w:cs="Arial"/>
          <w:b/>
          <w:color w:val="002060"/>
        </w:rPr>
      </w:pPr>
      <w:r w:rsidRPr="002B30D8">
        <w:rPr>
          <w:rFonts w:ascii="Arial" w:hAnsi="Arial" w:cs="Arial"/>
          <w:color w:val="002060"/>
        </w:rPr>
        <w:t>Find out more about NHS Scotland, the biggest employer in the country, providing jobs to people in more than 70 different professions, and its workforce is its greatest asset.</w:t>
      </w:r>
      <w:r w:rsidRPr="002B30D8">
        <w:rPr>
          <w:rFonts w:ascii="Arial" w:hAnsi="Arial" w:cs="Arial"/>
          <w:b/>
          <w:color w:val="002060"/>
        </w:rPr>
        <w:t xml:space="preserve"> </w:t>
      </w:r>
      <w:hyperlink r:id="rId52" w:history="1">
        <w:r w:rsidRPr="002B30D8">
          <w:rPr>
            <w:rStyle w:val="Hyperlink"/>
            <w:rFonts w:ascii="Arial" w:hAnsi="Arial" w:cs="Arial"/>
            <w:b/>
            <w:color w:val="002060"/>
          </w:rPr>
          <w:t>https://www.scotland.org/work/career-opportunities/healthcare</w:t>
        </w:r>
      </w:hyperlink>
    </w:p>
    <w:p w14:paraId="021C4BD6" w14:textId="77777777" w:rsidR="008502BD" w:rsidRPr="002B30D8" w:rsidRDefault="008502BD" w:rsidP="00067415">
      <w:pPr>
        <w:pStyle w:val="Default"/>
        <w:rPr>
          <w:b/>
          <w:color w:val="002060"/>
        </w:rPr>
      </w:pPr>
    </w:p>
    <w:p w14:paraId="1295FC81" w14:textId="77777777" w:rsidR="008502BD" w:rsidRPr="002B30D8" w:rsidRDefault="008502BD" w:rsidP="00067415">
      <w:pPr>
        <w:pStyle w:val="Default"/>
        <w:rPr>
          <w:b/>
          <w:color w:val="002060"/>
        </w:rPr>
      </w:pPr>
    </w:p>
    <w:p w14:paraId="1F049757" w14:textId="77777777" w:rsidR="008502BD" w:rsidRPr="002B30D8" w:rsidRDefault="008502BD" w:rsidP="00067415">
      <w:pPr>
        <w:pStyle w:val="Default"/>
        <w:rPr>
          <w:b/>
          <w:color w:val="002060"/>
        </w:rPr>
      </w:pPr>
    </w:p>
    <w:p w14:paraId="4DB2C230" w14:textId="77777777" w:rsidR="002B30D8" w:rsidRPr="002B30D8" w:rsidRDefault="002B30D8" w:rsidP="00067415">
      <w:pPr>
        <w:kinsoku w:val="0"/>
        <w:overflowPunct w:val="0"/>
        <w:jc w:val="both"/>
        <w:rPr>
          <w:rFonts w:ascii="Arial" w:hAnsi="Arial" w:cs="Arial"/>
          <w:b/>
          <w:bCs/>
          <w:color w:val="002060"/>
          <w:sz w:val="32"/>
          <w:szCs w:val="32"/>
        </w:rPr>
      </w:pPr>
    </w:p>
    <w:p w14:paraId="0E2EB11C" w14:textId="25C36D61" w:rsidR="008502BD" w:rsidRPr="002B30D8" w:rsidRDefault="00312CB8" w:rsidP="00067415">
      <w:pPr>
        <w:kinsoku w:val="0"/>
        <w:overflowPunct w:val="0"/>
        <w:jc w:val="both"/>
        <w:rPr>
          <w:rFonts w:ascii="Arial" w:hAnsi="Arial" w:cs="Arial"/>
          <w:b/>
          <w:bCs/>
          <w:color w:val="002060"/>
          <w:sz w:val="32"/>
          <w:szCs w:val="32"/>
        </w:rPr>
      </w:pPr>
      <w:r w:rsidRPr="002B30D8">
        <w:rPr>
          <w:rFonts w:ascii="Arial" w:hAnsi="Arial" w:cs="Arial"/>
          <w:b/>
          <w:bCs/>
          <w:color w:val="002060"/>
          <w:sz w:val="32"/>
          <w:szCs w:val="32"/>
        </w:rPr>
        <w:lastRenderedPageBreak/>
        <w:t xml:space="preserve">Section </w:t>
      </w:r>
      <w:r w:rsidR="002B30D8" w:rsidRPr="002B30D8">
        <w:rPr>
          <w:rFonts w:ascii="Arial" w:hAnsi="Arial" w:cs="Arial"/>
          <w:b/>
          <w:bCs/>
          <w:color w:val="002060"/>
          <w:sz w:val="32"/>
          <w:szCs w:val="32"/>
        </w:rPr>
        <w:t>7</w:t>
      </w:r>
      <w:r w:rsidR="008502BD" w:rsidRPr="002B30D8">
        <w:rPr>
          <w:rFonts w:ascii="Arial" w:hAnsi="Arial" w:cs="Arial"/>
          <w:b/>
          <w:bCs/>
          <w:color w:val="002060"/>
          <w:sz w:val="32"/>
          <w:szCs w:val="32"/>
        </w:rPr>
        <w:t>:</w:t>
      </w:r>
      <w:r w:rsidR="008502BD" w:rsidRPr="002B30D8">
        <w:rPr>
          <w:rFonts w:ascii="Arial" w:hAnsi="Arial" w:cs="Arial"/>
          <w:b/>
          <w:bCs/>
          <w:color w:val="002060"/>
          <w:sz w:val="32"/>
          <w:szCs w:val="32"/>
        </w:rPr>
        <w:tab/>
      </w:r>
    </w:p>
    <w:p w14:paraId="304D441B" w14:textId="77777777" w:rsidR="008502BD" w:rsidRPr="002B30D8" w:rsidRDefault="008502BD" w:rsidP="00067415">
      <w:pPr>
        <w:kinsoku w:val="0"/>
        <w:overflowPunct w:val="0"/>
        <w:jc w:val="both"/>
        <w:rPr>
          <w:rFonts w:ascii="Arial" w:hAnsi="Arial" w:cs="Arial"/>
          <w:b/>
          <w:bCs/>
          <w:color w:val="002060"/>
          <w:sz w:val="32"/>
        </w:rPr>
      </w:pPr>
      <w:r w:rsidRPr="002B30D8">
        <w:rPr>
          <w:rFonts w:ascii="Arial" w:hAnsi="Arial" w:cs="Arial"/>
          <w:b/>
          <w:bCs/>
          <w:color w:val="002060"/>
          <w:sz w:val="32"/>
          <w:szCs w:val="32"/>
        </w:rPr>
        <w:t>Living and Working in the Greater Glasgow and Clyde area</w:t>
      </w:r>
    </w:p>
    <w:p w14:paraId="1F3A9DD9" w14:textId="77777777" w:rsidR="008502BD" w:rsidRPr="002B30D8" w:rsidRDefault="008502BD" w:rsidP="00067415">
      <w:pPr>
        <w:jc w:val="both"/>
        <w:rPr>
          <w:rFonts w:ascii="Arial" w:hAnsi="Arial" w:cs="Arial"/>
          <w:iCs/>
          <w:color w:val="002060"/>
        </w:rPr>
      </w:pPr>
    </w:p>
    <w:p w14:paraId="26C63FBC" w14:textId="77777777" w:rsidR="008502BD" w:rsidRPr="002B30D8" w:rsidRDefault="008502BD" w:rsidP="00067415">
      <w:pPr>
        <w:jc w:val="both"/>
        <w:rPr>
          <w:rFonts w:ascii="Arial" w:hAnsi="Arial" w:cs="Arial"/>
          <w:color w:val="002060"/>
        </w:rPr>
      </w:pPr>
      <w:r w:rsidRPr="002B30D8">
        <w:rPr>
          <w:rFonts w:ascii="Arial" w:hAnsi="Arial" w:cs="Arial"/>
          <w:iCs/>
          <w:color w:val="002060"/>
        </w:rPr>
        <w:t>As a place to live, the Greater Glasgow and Clyde area has many attractions.</w:t>
      </w:r>
      <w:r w:rsidRPr="002B30D8">
        <w:rPr>
          <w:rFonts w:ascii="Arial" w:hAnsi="Arial" w:cs="Arial"/>
          <w:i/>
          <w:iCs/>
          <w:color w:val="002060"/>
        </w:rPr>
        <w:t xml:space="preserve"> </w:t>
      </w:r>
      <w:r w:rsidRPr="002B30D8">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2B30D8" w:rsidRDefault="008502BD" w:rsidP="00067415">
      <w:pPr>
        <w:jc w:val="both"/>
        <w:rPr>
          <w:rFonts w:ascii="Arial" w:hAnsi="Arial" w:cs="Arial"/>
          <w:color w:val="002060"/>
        </w:rPr>
      </w:pPr>
    </w:p>
    <w:p w14:paraId="5EDF7732" w14:textId="77777777" w:rsidR="008502BD" w:rsidRPr="002B30D8" w:rsidRDefault="008502BD" w:rsidP="00067415">
      <w:pPr>
        <w:jc w:val="both"/>
        <w:rPr>
          <w:rFonts w:ascii="Arial" w:hAnsi="Arial" w:cs="Arial"/>
          <w:color w:val="002060"/>
        </w:rPr>
      </w:pPr>
      <w:r w:rsidRPr="002B30D8">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2B30D8" w:rsidRDefault="008502BD" w:rsidP="00067415">
      <w:pPr>
        <w:jc w:val="both"/>
        <w:rPr>
          <w:rFonts w:ascii="Arial" w:hAnsi="Arial" w:cs="Arial"/>
          <w:color w:val="002060"/>
        </w:rPr>
      </w:pPr>
    </w:p>
    <w:p w14:paraId="3AA4BE72" w14:textId="77777777" w:rsidR="008502BD" w:rsidRPr="002B30D8" w:rsidRDefault="008502BD" w:rsidP="00067415">
      <w:pPr>
        <w:jc w:val="both"/>
        <w:rPr>
          <w:rFonts w:ascii="Arial" w:hAnsi="Arial" w:cs="Arial"/>
          <w:color w:val="002060"/>
        </w:rPr>
      </w:pPr>
      <w:r w:rsidRPr="002B30D8">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2B30D8" w:rsidRDefault="00E30E13" w:rsidP="00067415">
      <w:pPr>
        <w:jc w:val="both"/>
        <w:rPr>
          <w:rFonts w:ascii="Arial" w:hAnsi="Arial" w:cs="Arial"/>
          <w:color w:val="002060"/>
        </w:rPr>
      </w:pPr>
      <w:r w:rsidRPr="002B30D8">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2B30D8" w:rsidRDefault="008502BD" w:rsidP="00067415">
      <w:pPr>
        <w:outlineLvl w:val="3"/>
        <w:rPr>
          <w:rFonts w:ascii="Arial" w:hAnsi="Arial" w:cs="Arial"/>
          <w:b/>
          <w:color w:val="002060"/>
        </w:rPr>
      </w:pPr>
      <w:r w:rsidRPr="002B30D8">
        <w:rPr>
          <w:rFonts w:ascii="Arial" w:hAnsi="Arial" w:cs="Arial"/>
          <w:b/>
          <w:color w:val="002060"/>
        </w:rPr>
        <w:t>Glasgow</w:t>
      </w:r>
    </w:p>
    <w:p w14:paraId="5C91BA80" w14:textId="77777777" w:rsidR="008502BD" w:rsidRPr="002B30D8" w:rsidRDefault="008502BD" w:rsidP="00067415">
      <w:pPr>
        <w:outlineLvl w:val="3"/>
        <w:rPr>
          <w:rFonts w:ascii="Arial" w:hAnsi="Arial" w:cs="Arial"/>
          <w:b/>
          <w:color w:val="002060"/>
        </w:rPr>
      </w:pPr>
    </w:p>
    <w:p w14:paraId="5DACA55A" w14:textId="77777777" w:rsidR="008502BD" w:rsidRPr="002B30D8" w:rsidRDefault="008502BD" w:rsidP="00067415">
      <w:pPr>
        <w:outlineLvl w:val="3"/>
        <w:rPr>
          <w:rFonts w:ascii="Arial" w:hAnsi="Arial" w:cs="Arial"/>
          <w:b/>
          <w:color w:val="002060"/>
        </w:rPr>
      </w:pPr>
    </w:p>
    <w:p w14:paraId="43505A44" w14:textId="77777777" w:rsidR="008502BD" w:rsidRPr="002B30D8" w:rsidRDefault="008502BD" w:rsidP="00067415">
      <w:pPr>
        <w:outlineLvl w:val="3"/>
        <w:rPr>
          <w:rFonts w:ascii="Arial" w:hAnsi="Arial" w:cs="Arial"/>
          <w:color w:val="002060"/>
        </w:rPr>
      </w:pPr>
    </w:p>
    <w:p w14:paraId="7CA3C41B" w14:textId="77777777" w:rsidR="008502BD" w:rsidRPr="002B30D8" w:rsidRDefault="008502BD" w:rsidP="00067415">
      <w:pPr>
        <w:outlineLvl w:val="3"/>
        <w:rPr>
          <w:rFonts w:ascii="Arial" w:hAnsi="Arial" w:cs="Arial"/>
          <w:color w:val="002060"/>
        </w:rPr>
      </w:pPr>
    </w:p>
    <w:p w14:paraId="31A7451B" w14:textId="77777777" w:rsidR="008502BD" w:rsidRPr="002B30D8" w:rsidRDefault="00E30E13" w:rsidP="00067415">
      <w:pPr>
        <w:outlineLvl w:val="3"/>
        <w:rPr>
          <w:rFonts w:ascii="Arial" w:hAnsi="Arial" w:cs="Arial"/>
          <w:color w:val="002060"/>
        </w:rPr>
      </w:pPr>
      <w:r w:rsidRPr="002B30D8">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2B30D8" w:rsidRDefault="008502BD" w:rsidP="00067415">
      <w:pPr>
        <w:outlineLvl w:val="3"/>
        <w:rPr>
          <w:rFonts w:ascii="Arial" w:hAnsi="Arial" w:cs="Arial"/>
          <w:color w:val="002060"/>
        </w:rPr>
      </w:pPr>
    </w:p>
    <w:p w14:paraId="685C06AA" w14:textId="77777777" w:rsidR="008502BD" w:rsidRPr="002B30D8" w:rsidRDefault="008502BD" w:rsidP="00067415">
      <w:pPr>
        <w:outlineLvl w:val="3"/>
        <w:rPr>
          <w:rFonts w:ascii="Arial" w:hAnsi="Arial" w:cs="Arial"/>
          <w:color w:val="002060"/>
        </w:rPr>
      </w:pPr>
    </w:p>
    <w:p w14:paraId="2D788B7D" w14:textId="77777777" w:rsidR="008502BD" w:rsidRPr="002B30D8" w:rsidRDefault="008502BD" w:rsidP="00067415">
      <w:pPr>
        <w:outlineLvl w:val="3"/>
        <w:rPr>
          <w:rFonts w:ascii="Arial" w:hAnsi="Arial" w:cs="Arial"/>
          <w:color w:val="002060"/>
        </w:rPr>
      </w:pPr>
    </w:p>
    <w:p w14:paraId="048C0B30" w14:textId="77777777" w:rsidR="008502BD" w:rsidRPr="002B30D8" w:rsidRDefault="008502BD" w:rsidP="00067415">
      <w:pPr>
        <w:outlineLvl w:val="3"/>
        <w:rPr>
          <w:rFonts w:ascii="Arial" w:hAnsi="Arial" w:cs="Arial"/>
          <w:color w:val="002060"/>
        </w:rPr>
      </w:pPr>
    </w:p>
    <w:p w14:paraId="0B95DC93" w14:textId="77777777" w:rsidR="008502BD" w:rsidRPr="002B30D8" w:rsidRDefault="008502BD" w:rsidP="00067415">
      <w:pPr>
        <w:jc w:val="both"/>
        <w:outlineLvl w:val="3"/>
        <w:rPr>
          <w:rFonts w:ascii="Arial" w:hAnsi="Arial" w:cs="Arial"/>
          <w:color w:val="002060"/>
        </w:rPr>
      </w:pPr>
      <w:r w:rsidRPr="002B30D8">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2B30D8">
        <w:rPr>
          <w:rFonts w:ascii="Arial" w:hAnsi="Arial" w:cs="Arial"/>
          <w:color w:val="002060"/>
        </w:rPr>
        <w:t>source</w:t>
      </w:r>
      <w:proofErr w:type="gramEnd"/>
      <w:r w:rsidRPr="002B30D8">
        <w:rPr>
          <w:rFonts w:ascii="Arial" w:hAnsi="Arial" w:cs="Arial"/>
          <w:color w:val="002060"/>
        </w:rPr>
        <w:t>: Mercer survey, 2012)</w:t>
      </w:r>
    </w:p>
    <w:p w14:paraId="0F3BA65B" w14:textId="77777777" w:rsidR="008502BD" w:rsidRPr="002B30D8" w:rsidRDefault="008502BD" w:rsidP="00067415">
      <w:pPr>
        <w:jc w:val="both"/>
        <w:rPr>
          <w:rFonts w:ascii="Arial" w:hAnsi="Arial" w:cs="Arial"/>
          <w:color w:val="002060"/>
        </w:rPr>
      </w:pPr>
    </w:p>
    <w:p w14:paraId="7E69B850" w14:textId="77777777" w:rsidR="008502BD" w:rsidRPr="002B30D8" w:rsidRDefault="008502BD" w:rsidP="00067415">
      <w:pPr>
        <w:jc w:val="both"/>
        <w:rPr>
          <w:rFonts w:ascii="Arial" w:hAnsi="Arial" w:cs="Arial"/>
          <w:color w:val="002060"/>
        </w:rPr>
      </w:pPr>
      <w:r w:rsidRPr="002B30D8">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2B30D8" w:rsidRDefault="008502BD" w:rsidP="00067415">
      <w:pPr>
        <w:jc w:val="both"/>
        <w:rPr>
          <w:rFonts w:ascii="Arial" w:hAnsi="Arial" w:cs="Arial"/>
          <w:color w:val="002060"/>
        </w:rPr>
      </w:pPr>
    </w:p>
    <w:p w14:paraId="3D1414BA" w14:textId="77777777" w:rsidR="008502BD" w:rsidRPr="002B30D8" w:rsidRDefault="008502BD" w:rsidP="00067415">
      <w:pPr>
        <w:jc w:val="both"/>
        <w:rPr>
          <w:rFonts w:ascii="Arial" w:hAnsi="Arial" w:cs="Arial"/>
          <w:color w:val="002060"/>
        </w:rPr>
      </w:pPr>
      <w:r w:rsidRPr="002B30D8">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2B30D8" w:rsidRDefault="008502BD" w:rsidP="00067415">
      <w:pPr>
        <w:jc w:val="both"/>
        <w:rPr>
          <w:rFonts w:ascii="Arial" w:hAnsi="Arial" w:cs="Arial"/>
          <w:color w:val="002060"/>
        </w:rPr>
      </w:pPr>
    </w:p>
    <w:p w14:paraId="35D1AEBE" w14:textId="77777777" w:rsidR="008502BD" w:rsidRPr="002B30D8" w:rsidRDefault="008502BD" w:rsidP="00067415">
      <w:pPr>
        <w:jc w:val="both"/>
        <w:rPr>
          <w:rFonts w:ascii="Arial" w:hAnsi="Arial" w:cs="Arial"/>
          <w:color w:val="002060"/>
        </w:rPr>
      </w:pPr>
      <w:r w:rsidRPr="002B30D8">
        <w:rPr>
          <w:rFonts w:ascii="Arial" w:hAnsi="Arial" w:cs="Arial"/>
          <w:color w:val="002060"/>
        </w:rPr>
        <w:t>Home to over 133,000 students from around the world, this vibrant city has five world-renowned universities and seven colleges.</w:t>
      </w:r>
    </w:p>
    <w:p w14:paraId="4829838B" w14:textId="77777777" w:rsidR="008502BD" w:rsidRPr="002B30D8" w:rsidRDefault="008502BD" w:rsidP="00067415">
      <w:pPr>
        <w:jc w:val="both"/>
        <w:rPr>
          <w:rFonts w:ascii="Arial" w:hAnsi="Arial" w:cs="Arial"/>
          <w:color w:val="002060"/>
        </w:rPr>
      </w:pPr>
    </w:p>
    <w:p w14:paraId="7BA84123" w14:textId="77777777" w:rsidR="008502BD" w:rsidRPr="002B30D8" w:rsidRDefault="008502BD" w:rsidP="00067415">
      <w:pPr>
        <w:outlineLvl w:val="3"/>
        <w:rPr>
          <w:rFonts w:ascii="Arial" w:hAnsi="Arial" w:cs="Arial"/>
          <w:b/>
          <w:color w:val="002060"/>
        </w:rPr>
      </w:pPr>
      <w:r w:rsidRPr="002B30D8">
        <w:rPr>
          <w:rFonts w:ascii="Arial" w:hAnsi="Arial" w:cs="Arial"/>
          <w:b/>
          <w:color w:val="002060"/>
        </w:rPr>
        <w:t>Lots to see and do</w:t>
      </w:r>
    </w:p>
    <w:p w14:paraId="00D7CD29" w14:textId="77777777" w:rsidR="008502BD" w:rsidRPr="002B30D8" w:rsidRDefault="008502BD" w:rsidP="00067415">
      <w:pPr>
        <w:outlineLvl w:val="3"/>
        <w:rPr>
          <w:rFonts w:ascii="Arial" w:hAnsi="Arial" w:cs="Arial"/>
          <w:b/>
          <w:color w:val="002060"/>
        </w:rPr>
      </w:pPr>
    </w:p>
    <w:p w14:paraId="71E651AB" w14:textId="77777777" w:rsidR="008502BD" w:rsidRPr="002B30D8" w:rsidRDefault="008502BD" w:rsidP="00067415">
      <w:pPr>
        <w:jc w:val="both"/>
        <w:rPr>
          <w:rFonts w:ascii="Arial" w:hAnsi="Arial" w:cs="Arial"/>
          <w:color w:val="002060"/>
        </w:rPr>
      </w:pPr>
      <w:r w:rsidRPr="002B30D8">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2B30D8" w:rsidRDefault="008502BD" w:rsidP="00067415">
      <w:pPr>
        <w:jc w:val="both"/>
        <w:rPr>
          <w:rFonts w:ascii="Arial" w:hAnsi="Arial" w:cs="Arial"/>
          <w:color w:val="002060"/>
        </w:rPr>
      </w:pPr>
    </w:p>
    <w:p w14:paraId="17B84691" w14:textId="77777777" w:rsidR="008502BD" w:rsidRPr="002B30D8" w:rsidRDefault="008502BD" w:rsidP="00067415">
      <w:pPr>
        <w:jc w:val="both"/>
        <w:rPr>
          <w:rFonts w:ascii="Arial" w:hAnsi="Arial" w:cs="Arial"/>
          <w:color w:val="002060"/>
        </w:rPr>
      </w:pPr>
      <w:r w:rsidRPr="002B30D8">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2B30D8" w:rsidRDefault="008502BD" w:rsidP="00067415">
      <w:pPr>
        <w:jc w:val="both"/>
        <w:rPr>
          <w:rFonts w:ascii="Arial" w:hAnsi="Arial" w:cs="Arial"/>
          <w:color w:val="002060"/>
        </w:rPr>
      </w:pPr>
    </w:p>
    <w:p w14:paraId="7C5906E4" w14:textId="77777777" w:rsidR="008502BD" w:rsidRPr="002B30D8" w:rsidRDefault="008502BD" w:rsidP="00067415">
      <w:pPr>
        <w:jc w:val="both"/>
        <w:rPr>
          <w:rFonts w:ascii="Arial" w:hAnsi="Arial" w:cs="Arial"/>
          <w:color w:val="002060"/>
        </w:rPr>
      </w:pPr>
      <w:r w:rsidRPr="002B30D8">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2B30D8" w:rsidRDefault="008502BD" w:rsidP="00067415">
      <w:pPr>
        <w:jc w:val="both"/>
        <w:rPr>
          <w:rFonts w:ascii="Arial" w:hAnsi="Arial" w:cs="Arial"/>
          <w:color w:val="002060"/>
        </w:rPr>
      </w:pPr>
    </w:p>
    <w:p w14:paraId="50DDB9F7" w14:textId="77777777" w:rsidR="008502BD" w:rsidRPr="002B30D8" w:rsidRDefault="008502BD" w:rsidP="00067415">
      <w:pPr>
        <w:jc w:val="both"/>
        <w:rPr>
          <w:rFonts w:ascii="Arial" w:hAnsi="Arial" w:cs="Arial"/>
          <w:color w:val="002060"/>
        </w:rPr>
      </w:pPr>
      <w:r w:rsidRPr="002B30D8">
        <w:rPr>
          <w:rFonts w:ascii="Arial" w:hAnsi="Arial" w:cs="Arial"/>
          <w:color w:val="002060"/>
        </w:rPr>
        <w:t>This year’s Mercer’s Quality of Living survey sees Glasgow beat the likes of Rome, Prague, and Dubai to be </w:t>
      </w:r>
      <w:hyperlink r:id="rId54" w:history="1">
        <w:r w:rsidRPr="002B30D8">
          <w:rPr>
            <w:rFonts w:ascii="Arial" w:hAnsi="Arial" w:cs="Arial"/>
            <w:color w:val="002060"/>
          </w:rPr>
          <w:t>named as one of the best cities in the world to live.</w:t>
        </w:r>
      </w:hyperlink>
    </w:p>
    <w:p w14:paraId="65341E8E" w14:textId="77777777" w:rsidR="008502BD" w:rsidRPr="002B30D8" w:rsidRDefault="008502BD" w:rsidP="00067415">
      <w:pPr>
        <w:jc w:val="both"/>
        <w:rPr>
          <w:rFonts w:ascii="Arial" w:hAnsi="Arial" w:cs="Arial"/>
          <w:color w:val="002060"/>
        </w:rPr>
      </w:pPr>
    </w:p>
    <w:p w14:paraId="1B852805" w14:textId="77777777" w:rsidR="008502BD" w:rsidRPr="002B30D8" w:rsidRDefault="008502BD" w:rsidP="00067415">
      <w:pPr>
        <w:jc w:val="both"/>
        <w:rPr>
          <w:rFonts w:ascii="Arial" w:hAnsi="Arial" w:cs="Arial"/>
          <w:color w:val="002060"/>
        </w:rPr>
      </w:pPr>
      <w:r w:rsidRPr="002B30D8">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2B30D8" w:rsidRDefault="008502BD" w:rsidP="00067415">
      <w:pPr>
        <w:jc w:val="both"/>
        <w:rPr>
          <w:rFonts w:ascii="Arial" w:hAnsi="Arial" w:cs="Arial"/>
          <w:color w:val="002060"/>
        </w:rPr>
      </w:pPr>
    </w:p>
    <w:p w14:paraId="34BBC8E5" w14:textId="77777777" w:rsidR="008502BD" w:rsidRPr="002B30D8" w:rsidRDefault="00E30E13" w:rsidP="00067415">
      <w:pPr>
        <w:jc w:val="both"/>
        <w:rPr>
          <w:rFonts w:ascii="Arial" w:hAnsi="Arial" w:cs="Arial"/>
          <w:color w:val="002060"/>
        </w:rPr>
      </w:pPr>
      <w:r w:rsidRPr="002B30D8">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2B30D8">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2B30D8" w:rsidRDefault="008502BD" w:rsidP="00067415">
      <w:pPr>
        <w:jc w:val="both"/>
        <w:rPr>
          <w:rFonts w:ascii="Arial" w:hAnsi="Arial" w:cs="Arial"/>
          <w:color w:val="002060"/>
        </w:rPr>
      </w:pPr>
    </w:p>
    <w:p w14:paraId="3D5A2F33" w14:textId="77777777" w:rsidR="008502BD" w:rsidRPr="002B30D8" w:rsidRDefault="008502BD" w:rsidP="00067415">
      <w:pPr>
        <w:outlineLvl w:val="3"/>
        <w:rPr>
          <w:rFonts w:ascii="Arial" w:hAnsi="Arial" w:cs="Arial"/>
          <w:b/>
          <w:color w:val="002060"/>
        </w:rPr>
      </w:pPr>
      <w:r w:rsidRPr="002B30D8">
        <w:rPr>
          <w:rFonts w:ascii="Arial" w:hAnsi="Arial" w:cs="Arial"/>
          <w:b/>
          <w:color w:val="002060"/>
        </w:rPr>
        <w:t>Housing</w:t>
      </w:r>
    </w:p>
    <w:p w14:paraId="47D19137" w14:textId="77777777" w:rsidR="008502BD" w:rsidRPr="002B30D8" w:rsidRDefault="008502BD" w:rsidP="00067415">
      <w:pPr>
        <w:outlineLvl w:val="3"/>
        <w:rPr>
          <w:rFonts w:ascii="Arial" w:hAnsi="Arial" w:cs="Arial"/>
          <w:b/>
          <w:color w:val="002060"/>
        </w:rPr>
      </w:pPr>
    </w:p>
    <w:p w14:paraId="4DBCD514" w14:textId="77777777" w:rsidR="008502BD" w:rsidRPr="002B30D8" w:rsidRDefault="008502BD" w:rsidP="00067415">
      <w:pPr>
        <w:jc w:val="both"/>
        <w:rPr>
          <w:rFonts w:ascii="Arial" w:hAnsi="Arial" w:cs="Arial"/>
          <w:color w:val="002060"/>
        </w:rPr>
      </w:pPr>
      <w:r w:rsidRPr="002B30D8">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2B30D8" w:rsidRDefault="008502BD" w:rsidP="00067415">
      <w:pPr>
        <w:outlineLvl w:val="3"/>
        <w:rPr>
          <w:rFonts w:ascii="Arial" w:hAnsi="Arial" w:cs="Arial"/>
          <w:color w:val="002060"/>
        </w:rPr>
      </w:pPr>
    </w:p>
    <w:p w14:paraId="28B7E208" w14:textId="77777777" w:rsidR="008502BD" w:rsidRPr="002B30D8" w:rsidRDefault="008502BD" w:rsidP="00067415">
      <w:pPr>
        <w:outlineLvl w:val="3"/>
        <w:rPr>
          <w:rFonts w:ascii="Arial" w:hAnsi="Arial" w:cs="Arial"/>
          <w:b/>
          <w:color w:val="002060"/>
        </w:rPr>
      </w:pPr>
    </w:p>
    <w:p w14:paraId="31671FB4" w14:textId="77777777" w:rsidR="008502BD" w:rsidRPr="002B30D8" w:rsidRDefault="00E30E13" w:rsidP="00067415">
      <w:pPr>
        <w:outlineLvl w:val="3"/>
        <w:rPr>
          <w:rFonts w:ascii="Arial" w:hAnsi="Arial" w:cs="Arial"/>
          <w:b/>
          <w:color w:val="002060"/>
        </w:rPr>
      </w:pPr>
      <w:r w:rsidRPr="002B30D8">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2B30D8" w:rsidRDefault="008502BD" w:rsidP="00067415">
      <w:pPr>
        <w:outlineLvl w:val="3"/>
        <w:rPr>
          <w:rFonts w:ascii="Arial" w:hAnsi="Arial" w:cs="Arial"/>
          <w:b/>
          <w:color w:val="002060"/>
        </w:rPr>
      </w:pPr>
    </w:p>
    <w:p w14:paraId="6D131A1D" w14:textId="77777777" w:rsidR="008502BD" w:rsidRPr="002B30D8" w:rsidRDefault="008502BD" w:rsidP="00067415">
      <w:pPr>
        <w:outlineLvl w:val="3"/>
        <w:rPr>
          <w:rFonts w:ascii="Arial" w:hAnsi="Arial" w:cs="Arial"/>
          <w:b/>
          <w:color w:val="002060"/>
        </w:rPr>
      </w:pPr>
      <w:r w:rsidRPr="002B30D8">
        <w:rPr>
          <w:rFonts w:ascii="Arial" w:hAnsi="Arial" w:cs="Arial"/>
          <w:b/>
          <w:color w:val="002060"/>
        </w:rPr>
        <w:t>Getting around</w:t>
      </w:r>
    </w:p>
    <w:p w14:paraId="10DDC246" w14:textId="77777777" w:rsidR="008502BD" w:rsidRPr="002B30D8" w:rsidRDefault="008502BD" w:rsidP="00067415">
      <w:pPr>
        <w:outlineLvl w:val="3"/>
        <w:rPr>
          <w:rFonts w:ascii="Arial" w:hAnsi="Arial" w:cs="Arial"/>
          <w:b/>
          <w:color w:val="002060"/>
        </w:rPr>
      </w:pPr>
    </w:p>
    <w:p w14:paraId="2672B519" w14:textId="77777777" w:rsidR="008502BD" w:rsidRPr="002B30D8" w:rsidRDefault="008502BD" w:rsidP="00067415">
      <w:pPr>
        <w:jc w:val="both"/>
        <w:rPr>
          <w:rFonts w:ascii="Arial" w:hAnsi="Arial" w:cs="Arial"/>
          <w:color w:val="002060"/>
        </w:rPr>
      </w:pPr>
      <w:r w:rsidRPr="002B30D8">
        <w:rPr>
          <w:rFonts w:ascii="Arial" w:hAnsi="Arial" w:cs="Arial"/>
          <w:color w:val="002060"/>
        </w:rPr>
        <w:t>The region’s excellent transport links mean you’re connected to the rest of the UK - and the world. </w:t>
      </w:r>
    </w:p>
    <w:p w14:paraId="199A465E" w14:textId="77777777" w:rsidR="008502BD" w:rsidRPr="002B30D8" w:rsidRDefault="008502BD" w:rsidP="00067415">
      <w:pPr>
        <w:jc w:val="both"/>
        <w:rPr>
          <w:rFonts w:ascii="Arial" w:hAnsi="Arial" w:cs="Arial"/>
          <w:color w:val="002060"/>
        </w:rPr>
      </w:pPr>
    </w:p>
    <w:p w14:paraId="4E8A4629" w14:textId="77777777" w:rsidR="008502BD" w:rsidRPr="002B30D8" w:rsidRDefault="008502BD" w:rsidP="00067415">
      <w:pPr>
        <w:jc w:val="both"/>
        <w:rPr>
          <w:rFonts w:ascii="Arial" w:hAnsi="Arial" w:cs="Arial"/>
          <w:color w:val="002060"/>
        </w:rPr>
      </w:pPr>
      <w:r w:rsidRPr="002B30D8">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2B30D8" w:rsidRDefault="008502BD" w:rsidP="00067415">
      <w:pPr>
        <w:jc w:val="both"/>
        <w:rPr>
          <w:rFonts w:ascii="Arial" w:hAnsi="Arial" w:cs="Arial"/>
          <w:color w:val="002060"/>
        </w:rPr>
      </w:pPr>
    </w:p>
    <w:p w14:paraId="3D27984A" w14:textId="77777777" w:rsidR="008502BD" w:rsidRPr="002B30D8" w:rsidRDefault="008502BD" w:rsidP="00067415">
      <w:pPr>
        <w:jc w:val="both"/>
        <w:rPr>
          <w:rFonts w:ascii="Arial" w:hAnsi="Arial" w:cs="Arial"/>
          <w:color w:val="002060"/>
        </w:rPr>
      </w:pPr>
      <w:r w:rsidRPr="002B30D8">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2B30D8" w:rsidRDefault="008502BD" w:rsidP="00067415">
      <w:pPr>
        <w:jc w:val="both"/>
        <w:rPr>
          <w:rFonts w:ascii="Arial" w:hAnsi="Arial" w:cs="Arial"/>
          <w:color w:val="002060"/>
        </w:rPr>
      </w:pPr>
      <w:r w:rsidRPr="002B30D8">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2B30D8" w:rsidRDefault="008502BD" w:rsidP="00067415">
      <w:pPr>
        <w:jc w:val="both"/>
        <w:rPr>
          <w:rFonts w:ascii="Arial" w:hAnsi="Arial" w:cs="Arial"/>
          <w:color w:val="002060"/>
        </w:rPr>
      </w:pPr>
    </w:p>
    <w:p w14:paraId="6069A7FA" w14:textId="77777777" w:rsidR="008502BD" w:rsidRPr="002B30D8" w:rsidRDefault="008502BD" w:rsidP="00067415">
      <w:pPr>
        <w:jc w:val="both"/>
        <w:rPr>
          <w:rFonts w:ascii="Arial" w:hAnsi="Arial" w:cs="Arial"/>
          <w:color w:val="002060"/>
        </w:rPr>
      </w:pPr>
      <w:r w:rsidRPr="002B30D8">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2B30D8" w:rsidRDefault="008502BD" w:rsidP="00067415">
      <w:pPr>
        <w:jc w:val="both"/>
        <w:rPr>
          <w:rFonts w:ascii="Arial" w:hAnsi="Arial" w:cs="Arial"/>
          <w:color w:val="002060"/>
        </w:rPr>
      </w:pPr>
    </w:p>
    <w:p w14:paraId="4452289D" w14:textId="77777777" w:rsidR="008502BD" w:rsidRPr="002B30D8" w:rsidRDefault="008502BD" w:rsidP="00067415">
      <w:pPr>
        <w:jc w:val="both"/>
        <w:rPr>
          <w:rFonts w:ascii="Arial" w:hAnsi="Arial" w:cs="Arial"/>
          <w:color w:val="002060"/>
        </w:rPr>
      </w:pPr>
      <w:r w:rsidRPr="002B30D8">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2B30D8" w:rsidRDefault="008502BD" w:rsidP="00067415">
      <w:pPr>
        <w:jc w:val="both"/>
        <w:rPr>
          <w:rFonts w:ascii="Arial" w:hAnsi="Arial" w:cs="Arial"/>
          <w:color w:val="002060"/>
        </w:rPr>
      </w:pPr>
    </w:p>
    <w:p w14:paraId="01137209" w14:textId="77777777" w:rsidR="008502BD" w:rsidRPr="002B30D8" w:rsidRDefault="008502BD" w:rsidP="00067415">
      <w:pPr>
        <w:jc w:val="both"/>
        <w:rPr>
          <w:rFonts w:ascii="Arial" w:hAnsi="Arial" w:cs="Arial"/>
          <w:color w:val="002060"/>
        </w:rPr>
      </w:pPr>
      <w:r w:rsidRPr="002B30D8">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2B30D8" w:rsidRDefault="008502BD" w:rsidP="00067415">
      <w:pPr>
        <w:jc w:val="both"/>
        <w:rPr>
          <w:rFonts w:ascii="Arial" w:hAnsi="Arial" w:cs="Arial"/>
          <w:color w:val="002060"/>
        </w:rPr>
      </w:pPr>
    </w:p>
    <w:p w14:paraId="4543DD07" w14:textId="77777777" w:rsidR="008502BD" w:rsidRPr="002B30D8" w:rsidRDefault="00E30E13" w:rsidP="00067415">
      <w:pPr>
        <w:pStyle w:val="Default"/>
        <w:rPr>
          <w:b/>
          <w:color w:val="002060"/>
        </w:rPr>
      </w:pPr>
      <w:r w:rsidRPr="002B30D8">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2B30D8">
        <w:rPr>
          <w:b/>
          <w:color w:val="002060"/>
        </w:rPr>
        <w:t xml:space="preserve">To find more information about living and working in Scotland please visit:  </w:t>
      </w:r>
    </w:p>
    <w:p w14:paraId="57832B1C" w14:textId="77777777" w:rsidR="008502BD" w:rsidRPr="002B30D8" w:rsidRDefault="008502BD" w:rsidP="00067415">
      <w:pPr>
        <w:pStyle w:val="Default"/>
        <w:rPr>
          <w:b/>
          <w:color w:val="002060"/>
        </w:rPr>
      </w:pPr>
    </w:p>
    <w:p w14:paraId="5E19BBA5" w14:textId="77777777" w:rsidR="008502BD" w:rsidRPr="002B30D8" w:rsidRDefault="00000000" w:rsidP="00067415">
      <w:pPr>
        <w:pStyle w:val="Default"/>
        <w:rPr>
          <w:b/>
          <w:color w:val="002060"/>
        </w:rPr>
      </w:pPr>
      <w:hyperlink r:id="rId56" w:history="1">
        <w:r w:rsidR="008502BD" w:rsidRPr="002B30D8">
          <w:rPr>
            <w:rStyle w:val="Hyperlink"/>
            <w:b/>
            <w:color w:val="002060"/>
          </w:rPr>
          <w:t>https://www.visitscotland.com/</w:t>
        </w:r>
      </w:hyperlink>
    </w:p>
    <w:p w14:paraId="1C40870E" w14:textId="77777777" w:rsidR="008502BD" w:rsidRPr="002B30D8" w:rsidRDefault="008502BD" w:rsidP="00067415">
      <w:pPr>
        <w:pStyle w:val="Default"/>
        <w:rPr>
          <w:b/>
          <w:color w:val="002060"/>
        </w:rPr>
      </w:pPr>
    </w:p>
    <w:p w14:paraId="7289DCF4" w14:textId="77777777" w:rsidR="008502BD" w:rsidRPr="002B30D8" w:rsidRDefault="00000000" w:rsidP="00067415">
      <w:pPr>
        <w:pStyle w:val="Default"/>
        <w:rPr>
          <w:b/>
          <w:color w:val="002060"/>
        </w:rPr>
      </w:pPr>
      <w:hyperlink r:id="rId57" w:history="1">
        <w:r w:rsidR="008502BD" w:rsidRPr="002B30D8">
          <w:rPr>
            <w:rStyle w:val="Hyperlink"/>
            <w:b/>
            <w:color w:val="002060"/>
          </w:rPr>
          <w:t>https://www.scotland.org/</w:t>
        </w:r>
      </w:hyperlink>
    </w:p>
    <w:p w14:paraId="2DEE77AD" w14:textId="77777777" w:rsidR="008502BD" w:rsidRPr="002B30D8" w:rsidRDefault="008502BD" w:rsidP="00067415">
      <w:pPr>
        <w:pStyle w:val="Default"/>
        <w:rPr>
          <w:rStyle w:val="Hyperlink"/>
          <w:b/>
          <w:color w:val="002060"/>
        </w:rPr>
      </w:pPr>
    </w:p>
    <w:p w14:paraId="3071E537" w14:textId="77777777" w:rsidR="008502BD" w:rsidRPr="002B30D8" w:rsidRDefault="008502BD" w:rsidP="00067415">
      <w:pPr>
        <w:pStyle w:val="Default"/>
        <w:rPr>
          <w:b/>
          <w:color w:val="002060"/>
        </w:rPr>
      </w:pPr>
      <w:r w:rsidRPr="002B30D8">
        <w:rPr>
          <w:rStyle w:val="Hyperlink"/>
          <w:b/>
          <w:color w:val="002060"/>
        </w:rPr>
        <w:t>https://www.talentscotland.com/</w:t>
      </w:r>
    </w:p>
    <w:p w14:paraId="1C733FC1" w14:textId="77777777" w:rsidR="008502BD" w:rsidRPr="002B30D8" w:rsidRDefault="008502BD" w:rsidP="00067415">
      <w:pPr>
        <w:pStyle w:val="Default"/>
        <w:rPr>
          <w:b/>
          <w:color w:val="002060"/>
        </w:rPr>
      </w:pPr>
    </w:p>
    <w:p w14:paraId="0C61A19D" w14:textId="77777777" w:rsidR="008502BD" w:rsidRPr="002B30D8" w:rsidRDefault="00000000" w:rsidP="00067415">
      <w:pPr>
        <w:pStyle w:val="Default"/>
        <w:rPr>
          <w:b/>
          <w:color w:val="002060"/>
        </w:rPr>
      </w:pPr>
      <w:hyperlink r:id="rId58" w:history="1">
        <w:r w:rsidR="008502BD" w:rsidRPr="002B30D8">
          <w:rPr>
            <w:rStyle w:val="Hyperlink"/>
            <w:b/>
            <w:color w:val="002060"/>
          </w:rPr>
          <w:t>https://moverdb.com/moving-to-glasgow/</w:t>
        </w:r>
      </w:hyperlink>
    </w:p>
    <w:p w14:paraId="1881B6FD" w14:textId="77777777" w:rsidR="008502BD" w:rsidRPr="002B30D8" w:rsidRDefault="008502BD" w:rsidP="00067415">
      <w:pPr>
        <w:pStyle w:val="Default"/>
        <w:rPr>
          <w:b/>
          <w:color w:val="002060"/>
        </w:rPr>
      </w:pPr>
    </w:p>
    <w:p w14:paraId="4355CF2B" w14:textId="77777777" w:rsidR="008502BD" w:rsidRPr="002B30D8" w:rsidRDefault="008502BD" w:rsidP="00067415">
      <w:pPr>
        <w:pStyle w:val="Default"/>
        <w:rPr>
          <w:b/>
          <w:color w:val="002060"/>
        </w:rPr>
      </w:pPr>
    </w:p>
    <w:p w14:paraId="4DF9747E" w14:textId="77777777" w:rsidR="008502BD" w:rsidRPr="002B30D8" w:rsidRDefault="008502BD" w:rsidP="00315293">
      <w:pPr>
        <w:ind w:left="284"/>
        <w:rPr>
          <w:rFonts w:cs="Arial"/>
          <w:color w:val="002060"/>
        </w:rPr>
      </w:pPr>
    </w:p>
    <w:p w14:paraId="75F6F7BD" w14:textId="77777777" w:rsidR="008502BD" w:rsidRPr="002B30D8" w:rsidRDefault="008502BD" w:rsidP="00315293">
      <w:pPr>
        <w:autoSpaceDE w:val="0"/>
        <w:autoSpaceDN w:val="0"/>
        <w:adjustRightInd w:val="0"/>
        <w:rPr>
          <w:rFonts w:ascii="Arial" w:hAnsi="Arial" w:cs="Arial"/>
          <w:color w:val="002060"/>
        </w:rPr>
      </w:pPr>
    </w:p>
    <w:p w14:paraId="1E8AF211" w14:textId="77777777" w:rsidR="008502BD" w:rsidRPr="002B30D8" w:rsidRDefault="008502BD" w:rsidP="00315293">
      <w:pPr>
        <w:pStyle w:val="Default"/>
        <w:tabs>
          <w:tab w:val="left" w:pos="1843"/>
        </w:tabs>
        <w:jc w:val="both"/>
        <w:rPr>
          <w:b/>
          <w:bCs/>
          <w:color w:val="002060"/>
        </w:rPr>
      </w:pPr>
      <w:r w:rsidRPr="002B30D8">
        <w:rPr>
          <w:b/>
          <w:bCs/>
          <w:color w:val="002060"/>
        </w:rPr>
        <w:t xml:space="preserve">                         </w:t>
      </w:r>
    </w:p>
    <w:p w14:paraId="537538F0" w14:textId="77777777" w:rsidR="008502BD" w:rsidRPr="002B30D8" w:rsidRDefault="008502BD" w:rsidP="00EF6D04">
      <w:pPr>
        <w:pStyle w:val="Default"/>
        <w:rPr>
          <w:b/>
          <w:color w:val="002060"/>
        </w:rPr>
      </w:pPr>
    </w:p>
    <w:sectPr w:rsidR="008502BD" w:rsidRPr="002B30D8"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4B5F" w14:textId="77777777" w:rsidR="00E33981" w:rsidRDefault="00E33981">
      <w:r>
        <w:separator/>
      </w:r>
    </w:p>
  </w:endnote>
  <w:endnote w:type="continuationSeparator" w:id="0">
    <w:p w14:paraId="41CF6D8F" w14:textId="77777777" w:rsidR="00E33981" w:rsidRDefault="00E3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Century Gothic"/>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C92639" w:rsidRDefault="000F751B" w:rsidP="00CC24F0">
    <w:pPr>
      <w:pStyle w:val="Footer"/>
      <w:framePr w:wrap="around" w:vAnchor="text" w:hAnchor="margin" w:xAlign="right" w:y="1"/>
      <w:rPr>
        <w:rStyle w:val="PageNumber"/>
      </w:rPr>
    </w:pPr>
    <w:r>
      <w:rPr>
        <w:rStyle w:val="PageNumber"/>
      </w:rPr>
      <w:fldChar w:fldCharType="begin"/>
    </w:r>
    <w:r w:rsidR="00C92639">
      <w:rPr>
        <w:rStyle w:val="PageNumber"/>
      </w:rPr>
      <w:instrText xml:space="preserve">PAGE  </w:instrText>
    </w:r>
    <w:r>
      <w:rPr>
        <w:rStyle w:val="PageNumber"/>
      </w:rPr>
      <w:fldChar w:fldCharType="separate"/>
    </w:r>
    <w:r w:rsidR="00C92639">
      <w:rPr>
        <w:rStyle w:val="PageNumber"/>
        <w:noProof/>
      </w:rPr>
      <w:t>22</w:t>
    </w:r>
    <w:r>
      <w:rPr>
        <w:rStyle w:val="PageNumber"/>
      </w:rPr>
      <w:fldChar w:fldCharType="end"/>
    </w:r>
  </w:p>
  <w:p w14:paraId="6532E3C8" w14:textId="77777777" w:rsidR="00C92639" w:rsidRDefault="00C92639"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C92639" w:rsidRDefault="00C92639"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C92639" w:rsidRDefault="000F751B">
    <w:pPr>
      <w:pStyle w:val="Footer"/>
      <w:framePr w:wrap="around" w:vAnchor="text" w:hAnchor="margin" w:xAlign="right" w:y="1"/>
      <w:rPr>
        <w:rStyle w:val="PageNumber"/>
      </w:rPr>
    </w:pPr>
    <w:r>
      <w:rPr>
        <w:rStyle w:val="PageNumber"/>
      </w:rPr>
      <w:fldChar w:fldCharType="begin"/>
    </w:r>
    <w:r w:rsidR="00C92639">
      <w:rPr>
        <w:rStyle w:val="PageNumber"/>
      </w:rPr>
      <w:instrText xml:space="preserve">PAGE  </w:instrText>
    </w:r>
    <w:r>
      <w:rPr>
        <w:rStyle w:val="PageNumber"/>
      </w:rPr>
      <w:fldChar w:fldCharType="separate"/>
    </w:r>
    <w:r w:rsidR="00C92639">
      <w:rPr>
        <w:rStyle w:val="PageNumber"/>
        <w:noProof/>
      </w:rPr>
      <w:t>22</w:t>
    </w:r>
    <w:r>
      <w:rPr>
        <w:rStyle w:val="PageNumber"/>
      </w:rPr>
      <w:fldChar w:fldCharType="end"/>
    </w:r>
  </w:p>
  <w:p w14:paraId="3CA02101" w14:textId="77777777" w:rsidR="00C92639" w:rsidRDefault="00C9263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C92639" w:rsidRPr="00067415" w:rsidRDefault="00C92639"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E92FA" w14:textId="77777777" w:rsidR="00E33981" w:rsidRDefault="00E33981">
      <w:r>
        <w:separator/>
      </w:r>
    </w:p>
  </w:footnote>
  <w:footnote w:type="continuationSeparator" w:id="0">
    <w:p w14:paraId="1A408115" w14:textId="77777777" w:rsidR="00E33981" w:rsidRDefault="00E3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C92639"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C92639"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C92639"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106CB"/>
    <w:multiLevelType w:val="hybridMultilevel"/>
    <w:tmpl w:val="A1B2D16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4227355"/>
    <w:multiLevelType w:val="hybridMultilevel"/>
    <w:tmpl w:val="ADC2724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8"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4"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832868110">
    <w:abstractNumId w:val="0"/>
  </w:num>
  <w:num w:numId="2" w16cid:durableId="1244493169">
    <w:abstractNumId w:val="0"/>
  </w:num>
  <w:num w:numId="3" w16cid:durableId="777801354">
    <w:abstractNumId w:val="0"/>
  </w:num>
  <w:num w:numId="4" w16cid:durableId="1914512412">
    <w:abstractNumId w:val="0"/>
  </w:num>
  <w:num w:numId="5" w16cid:durableId="1607078963">
    <w:abstractNumId w:val="0"/>
  </w:num>
  <w:num w:numId="6" w16cid:durableId="136609482">
    <w:abstractNumId w:val="0"/>
  </w:num>
  <w:num w:numId="7" w16cid:durableId="501047859">
    <w:abstractNumId w:val="0"/>
  </w:num>
  <w:num w:numId="8" w16cid:durableId="1687753781">
    <w:abstractNumId w:val="29"/>
  </w:num>
  <w:num w:numId="9" w16cid:durableId="2034500946">
    <w:abstractNumId w:val="21"/>
  </w:num>
  <w:num w:numId="10" w16cid:durableId="211617084">
    <w:abstractNumId w:val="3"/>
  </w:num>
  <w:num w:numId="11" w16cid:durableId="1375354112">
    <w:abstractNumId w:val="27"/>
  </w:num>
  <w:num w:numId="12" w16cid:durableId="1744646217">
    <w:abstractNumId w:val="23"/>
  </w:num>
  <w:num w:numId="13" w16cid:durableId="204100124">
    <w:abstractNumId w:val="15"/>
  </w:num>
  <w:num w:numId="14" w16cid:durableId="1372806516">
    <w:abstractNumId w:val="18"/>
  </w:num>
  <w:num w:numId="15" w16cid:durableId="1025902678">
    <w:abstractNumId w:val="16"/>
  </w:num>
  <w:num w:numId="16" w16cid:durableId="165984435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64857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0418770">
    <w:abstractNumId w:val="14"/>
  </w:num>
  <w:num w:numId="19" w16cid:durableId="1055277201">
    <w:abstractNumId w:val="9"/>
  </w:num>
  <w:num w:numId="20" w16cid:durableId="432018185">
    <w:abstractNumId w:val="28"/>
  </w:num>
  <w:num w:numId="21" w16cid:durableId="1422796908">
    <w:abstractNumId w:val="26"/>
  </w:num>
  <w:num w:numId="22" w16cid:durableId="1089156326">
    <w:abstractNumId w:val="24"/>
  </w:num>
  <w:num w:numId="23" w16cid:durableId="667178609">
    <w:abstractNumId w:val="10"/>
  </w:num>
  <w:num w:numId="24" w16cid:durableId="533201691">
    <w:abstractNumId w:val="6"/>
  </w:num>
  <w:num w:numId="25" w16cid:durableId="1272325155">
    <w:abstractNumId w:val="13"/>
  </w:num>
  <w:num w:numId="26" w16cid:durableId="1567833163">
    <w:abstractNumId w:val="8"/>
  </w:num>
  <w:num w:numId="27" w16cid:durableId="189878515">
    <w:abstractNumId w:val="22"/>
  </w:num>
  <w:num w:numId="28" w16cid:durableId="807362458">
    <w:abstractNumId w:val="20"/>
  </w:num>
  <w:num w:numId="29" w16cid:durableId="1501237180">
    <w:abstractNumId w:val="2"/>
  </w:num>
  <w:num w:numId="30" w16cid:durableId="1550068426">
    <w:abstractNumId w:val="17"/>
  </w:num>
  <w:num w:numId="31" w16cid:durableId="1365011073">
    <w:abstractNumId w:val="25"/>
  </w:num>
  <w:num w:numId="32" w16cid:durableId="1902252234">
    <w:abstractNumId w:val="19"/>
  </w:num>
  <w:num w:numId="33" w16cid:durableId="1374042030">
    <w:abstractNumId w:val="4"/>
  </w:num>
  <w:num w:numId="34" w16cid:durableId="1598057189">
    <w:abstractNumId w:val="5"/>
  </w:num>
  <w:num w:numId="35" w16cid:durableId="5035895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71704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30D8"/>
    <w:rsid w:val="002B4216"/>
    <w:rsid w:val="002C3049"/>
    <w:rsid w:val="002C51DE"/>
    <w:rsid w:val="002C56CB"/>
    <w:rsid w:val="002D5D7B"/>
    <w:rsid w:val="002D6684"/>
    <w:rsid w:val="002E0D3F"/>
    <w:rsid w:val="002E5EF9"/>
    <w:rsid w:val="002E6623"/>
    <w:rsid w:val="002E7AC9"/>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5F7B96"/>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62885"/>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3981"/>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7254</Words>
  <Characters>41353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2023-09-05T13:51:00Z</dcterms:created>
  <dcterms:modified xsi:type="dcterms:W3CDTF">2023-09-05T13:51:00Z</dcterms:modified>
</cp:coreProperties>
</file>