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71BCCEC2" w14:textId="3BED02DE" w:rsidR="00941CC6" w:rsidRDefault="00941CC6" w:rsidP="00941CC6">
      <w:pPr>
        <w:ind w:right="-897"/>
        <w:rPr>
          <w:rFonts w:ascii="Calibri" w:hAnsi="Calibri" w:cs="Arial"/>
          <w:b/>
          <w:color w:val="002060"/>
          <w:sz w:val="48"/>
          <w:szCs w:val="22"/>
        </w:rPr>
      </w:pPr>
      <w:r>
        <w:rPr>
          <w:rFonts w:ascii="Calibri" w:hAnsi="Calibri" w:cs="Arial"/>
          <w:b/>
          <w:color w:val="002060"/>
          <w:sz w:val="48"/>
          <w:szCs w:val="22"/>
        </w:rPr>
        <w:t xml:space="preserve">Title: </w:t>
      </w:r>
      <w:r>
        <w:rPr>
          <w:rFonts w:ascii="Calibri" w:hAnsi="Calibri" w:cs="Arial"/>
          <w:b/>
          <w:color w:val="002060"/>
          <w:sz w:val="48"/>
          <w:szCs w:val="22"/>
        </w:rPr>
        <w:t xml:space="preserve">Winter Locum Consultant </w:t>
      </w:r>
      <w:r>
        <w:rPr>
          <w:rFonts w:ascii="Calibri" w:hAnsi="Calibri" w:cs="Arial"/>
          <w:b/>
          <w:color w:val="002060"/>
          <w:sz w:val="48"/>
          <w:szCs w:val="22"/>
        </w:rPr>
        <w:t xml:space="preserve">in </w:t>
      </w:r>
      <w:r>
        <w:rPr>
          <w:rFonts w:ascii="Calibri" w:hAnsi="Calibri" w:cs="Arial"/>
          <w:b/>
          <w:color w:val="002060"/>
          <w:sz w:val="48"/>
          <w:szCs w:val="22"/>
        </w:rPr>
        <w:t xml:space="preserve">General Internal Medicine </w:t>
      </w:r>
    </w:p>
    <w:p w14:paraId="7354ED8C" w14:textId="4C215FA1" w:rsidR="00941CC6" w:rsidRDefault="00941CC6" w:rsidP="00941CC6">
      <w:pPr>
        <w:ind w:right="-897"/>
        <w:rPr>
          <w:rFonts w:ascii="Calibri" w:hAnsi="Calibri" w:cs="Arial"/>
          <w:b/>
          <w:color w:val="002060"/>
          <w:sz w:val="48"/>
          <w:szCs w:val="22"/>
        </w:rPr>
      </w:pPr>
      <w:r>
        <w:rPr>
          <w:rFonts w:ascii="Calibri" w:hAnsi="Calibri" w:cs="Arial"/>
          <w:b/>
          <w:color w:val="002060"/>
          <w:sz w:val="48"/>
          <w:szCs w:val="22"/>
        </w:rPr>
        <w:t xml:space="preserve">Location: </w:t>
      </w:r>
      <w:r>
        <w:rPr>
          <w:rFonts w:ascii="Calibri" w:hAnsi="Calibri" w:cs="Arial"/>
          <w:b/>
          <w:color w:val="002060"/>
          <w:sz w:val="48"/>
          <w:szCs w:val="22"/>
        </w:rPr>
        <w:t>Glasgow Royal Infirmary</w:t>
      </w:r>
    </w:p>
    <w:p w14:paraId="3DB7B143" w14:textId="0E93D977"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941CC6">
        <w:rPr>
          <w:rFonts w:ascii="Calibri" w:hAnsi="Calibri" w:cs="Arial"/>
          <w:b/>
          <w:color w:val="002060"/>
          <w:sz w:val="48"/>
          <w:szCs w:val="22"/>
        </w:rPr>
        <w:t>175262</w:t>
      </w:r>
    </w:p>
    <w:p w14:paraId="4B181AED" w14:textId="017FC5BA"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Closing Date:</w:t>
      </w:r>
      <w:r w:rsidR="00941CC6">
        <w:rPr>
          <w:rFonts w:ascii="Calibri" w:hAnsi="Calibri" w:cs="Arial"/>
          <w:b/>
          <w:color w:val="002060"/>
          <w:sz w:val="48"/>
          <w:szCs w:val="22"/>
        </w:rPr>
        <w:t xml:space="preserve"> 14</w:t>
      </w:r>
      <w:r w:rsidR="00941CC6" w:rsidRPr="00941CC6">
        <w:rPr>
          <w:rFonts w:ascii="Calibri" w:hAnsi="Calibri" w:cs="Arial"/>
          <w:b/>
          <w:color w:val="002060"/>
          <w:sz w:val="48"/>
          <w:szCs w:val="22"/>
          <w:vertAlign w:val="superscript"/>
        </w:rPr>
        <w:t>th</w:t>
      </w:r>
      <w:r w:rsidR="00941CC6">
        <w:rPr>
          <w:rFonts w:ascii="Calibri" w:hAnsi="Calibri" w:cs="Arial"/>
          <w:b/>
          <w:color w:val="002060"/>
          <w:sz w:val="48"/>
          <w:szCs w:val="22"/>
        </w:rPr>
        <w:t xml:space="preserve"> January 2024</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546"/>
        <w:gridCol w:w="6756"/>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9F559F7" w14:textId="77777777" w:rsidTr="00A9006B">
        <w:trPr>
          <w:trHeight w:val="930"/>
        </w:trPr>
        <w:tc>
          <w:tcPr>
            <w:tcW w:w="10807" w:type="dxa"/>
            <w:gridSpan w:val="4"/>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537C8E04" w14:textId="77777777" w:rsidTr="00A9006B">
        <w:trPr>
          <w:trHeight w:val="165"/>
        </w:trPr>
        <w:tc>
          <w:tcPr>
            <w:tcW w:w="2160" w:type="dxa"/>
            <w:shd w:val="clear" w:color="auto" w:fill="DDD9C3"/>
          </w:tcPr>
          <w:p w14:paraId="14891CB2"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0C804370"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2FA7CD52"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941CC6" w:rsidRPr="008A52ED" w14:paraId="13623FEC" w14:textId="77777777" w:rsidTr="00A9006B">
        <w:trPr>
          <w:trHeight w:val="375"/>
        </w:trPr>
        <w:tc>
          <w:tcPr>
            <w:tcW w:w="2160" w:type="dxa"/>
          </w:tcPr>
          <w:p w14:paraId="4FD092A8" w14:textId="1088AF70" w:rsidR="00941CC6" w:rsidRPr="006D5D7B" w:rsidRDefault="00941CC6" w:rsidP="00941CC6">
            <w:pPr>
              <w:pStyle w:val="Default"/>
            </w:pPr>
            <w:bookmarkStart w:id="0" w:name="_GoBack" w:colFirst="0" w:colLast="0"/>
            <w:r>
              <w:rPr>
                <w:color w:val="002060"/>
              </w:rPr>
              <w:t xml:space="preserve">Mr Paul Jenkins </w:t>
            </w:r>
          </w:p>
        </w:tc>
        <w:tc>
          <w:tcPr>
            <w:tcW w:w="2552" w:type="dxa"/>
          </w:tcPr>
          <w:p w14:paraId="0F97258E" w14:textId="66BF0545" w:rsidR="00941CC6" w:rsidRPr="006D5D7B" w:rsidRDefault="00941CC6" w:rsidP="00941CC6">
            <w:pPr>
              <w:pStyle w:val="Default"/>
              <w:ind w:left="12" w:hanging="12"/>
            </w:pPr>
            <w:r>
              <w:rPr>
                <w:bCs/>
                <w:color w:val="002060"/>
              </w:rPr>
              <w:t xml:space="preserve">Deputy Chief of Medicine </w:t>
            </w:r>
          </w:p>
        </w:tc>
        <w:tc>
          <w:tcPr>
            <w:tcW w:w="4110" w:type="dxa"/>
          </w:tcPr>
          <w:p w14:paraId="348868FE" w14:textId="493A2100" w:rsidR="00941CC6" w:rsidRPr="006D5D7B" w:rsidRDefault="00941CC6" w:rsidP="00941CC6">
            <w:pPr>
              <w:pStyle w:val="Default"/>
              <w:ind w:left="12" w:hanging="12"/>
            </w:pPr>
            <w:hyperlink r:id="rId16" w:history="1">
              <w:r w:rsidRPr="00D347E4">
                <w:rPr>
                  <w:rStyle w:val="Hyperlink"/>
                  <w:rFonts w:cs="Arial"/>
                  <w:bCs/>
                </w:rPr>
                <w:t>Paul.Jenkins@ggc.scot.nhs.uk</w:t>
              </w:r>
            </w:hyperlink>
            <w:r>
              <w:rPr>
                <w:bCs/>
                <w:color w:val="002060"/>
              </w:rPr>
              <w:t xml:space="preserve"> </w:t>
            </w:r>
          </w:p>
        </w:tc>
        <w:tc>
          <w:tcPr>
            <w:tcW w:w="1985" w:type="dxa"/>
          </w:tcPr>
          <w:p w14:paraId="703098C9" w14:textId="5610DD48" w:rsidR="00941CC6" w:rsidRPr="006D5D7B" w:rsidRDefault="00941CC6" w:rsidP="00941CC6">
            <w:pPr>
              <w:pStyle w:val="Default"/>
              <w:ind w:firstLine="15"/>
            </w:pPr>
            <w:r>
              <w:rPr>
                <w:bCs/>
                <w:color w:val="002060"/>
                <w:sz w:val="22"/>
                <w:szCs w:val="22"/>
              </w:rPr>
              <w:t>0141  201 3751</w:t>
            </w:r>
          </w:p>
        </w:tc>
      </w:tr>
      <w:bookmarkEnd w:id="0"/>
      <w:tr w:rsidR="00941CC6" w:rsidRPr="008A52ED" w14:paraId="01DB6BEA" w14:textId="77777777" w:rsidTr="00A9006B">
        <w:trPr>
          <w:trHeight w:val="375"/>
        </w:trPr>
        <w:tc>
          <w:tcPr>
            <w:tcW w:w="2160" w:type="dxa"/>
          </w:tcPr>
          <w:p w14:paraId="58353813" w14:textId="59C7A774" w:rsidR="00941CC6" w:rsidRDefault="00941CC6" w:rsidP="00941CC6">
            <w:pPr>
              <w:pStyle w:val="Default"/>
              <w:rPr>
                <w:color w:val="002060"/>
              </w:rPr>
            </w:pPr>
            <w:r>
              <w:rPr>
                <w:bCs/>
                <w:color w:val="002060"/>
              </w:rPr>
              <w:t xml:space="preserve">Ms Rosemary Brogan </w:t>
            </w:r>
          </w:p>
        </w:tc>
        <w:tc>
          <w:tcPr>
            <w:tcW w:w="2552" w:type="dxa"/>
          </w:tcPr>
          <w:p w14:paraId="0CB52066" w14:textId="5B6FF6DE" w:rsidR="00941CC6" w:rsidRDefault="00941CC6" w:rsidP="00941CC6">
            <w:pPr>
              <w:pStyle w:val="Default"/>
              <w:ind w:left="12" w:hanging="12"/>
              <w:rPr>
                <w:bCs/>
                <w:color w:val="002060"/>
              </w:rPr>
            </w:pPr>
            <w:r>
              <w:rPr>
                <w:bCs/>
                <w:color w:val="002060"/>
              </w:rPr>
              <w:t xml:space="preserve">Clinical  Service Manager </w:t>
            </w:r>
          </w:p>
        </w:tc>
        <w:tc>
          <w:tcPr>
            <w:tcW w:w="4110" w:type="dxa"/>
          </w:tcPr>
          <w:p w14:paraId="1BA8A753" w14:textId="715E7870" w:rsidR="00941CC6" w:rsidRDefault="00941CC6" w:rsidP="00941CC6">
            <w:pPr>
              <w:pStyle w:val="Default"/>
              <w:ind w:left="12" w:hanging="12"/>
              <w:rPr>
                <w:rStyle w:val="CommentTextChar1"/>
                <w:rFonts w:cs="Arial"/>
                <w:bCs/>
              </w:rPr>
            </w:pPr>
            <w:r>
              <w:rPr>
                <w:bCs/>
                <w:color w:val="002060"/>
              </w:rPr>
              <w:t>Rosemary.Brogan@ggc.scot.nhs.uk</w:t>
            </w:r>
          </w:p>
        </w:tc>
        <w:tc>
          <w:tcPr>
            <w:tcW w:w="1985" w:type="dxa"/>
          </w:tcPr>
          <w:p w14:paraId="3027CC75" w14:textId="503F6011" w:rsidR="00941CC6" w:rsidRDefault="00941CC6" w:rsidP="00941CC6">
            <w:pPr>
              <w:pStyle w:val="Default"/>
              <w:ind w:firstLine="15"/>
              <w:rPr>
                <w:bCs/>
                <w:color w:val="002060"/>
                <w:sz w:val="22"/>
                <w:szCs w:val="22"/>
              </w:rPr>
            </w:pPr>
            <w:r>
              <w:rPr>
                <w:bCs/>
                <w:color w:val="002060"/>
                <w:sz w:val="22"/>
                <w:szCs w:val="22"/>
              </w:rPr>
              <w:t>0141 201 3813</w:t>
            </w:r>
          </w:p>
        </w:tc>
      </w:tr>
    </w:tbl>
    <w:p w14:paraId="45330E19" w14:textId="77777777" w:rsidR="00BF2B07" w:rsidRDefault="00BF2B07" w:rsidP="00BF2B07">
      <w:pPr>
        <w:rPr>
          <w:rFonts w:ascii="Arial" w:hAnsi="Arial" w:cs="Arial"/>
          <w:b/>
          <w:bCs/>
          <w:sz w:val="22"/>
        </w:rPr>
      </w:pPr>
    </w:p>
    <w:p w14:paraId="03B62600" w14:textId="77777777" w:rsidR="00C92639" w:rsidRPr="008A52ED" w:rsidRDefault="00C92639" w:rsidP="00C92639">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1"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7"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8"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9"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0"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1"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2"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3"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4"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913E1">
        <w:rPr>
          <w:rFonts w:ascii="Arial" w:hAnsi="Arial" w:cs="Arial"/>
          <w:i/>
          <w:iCs/>
          <w:color w:val="002060"/>
          <w:sz w:val="20"/>
          <w:szCs w:val="22"/>
          <w:bdr w:val="none" w:sz="0" w:space="0" w:color="auto" w:frame="1"/>
        </w:rPr>
        <w:t>your</w:t>
      </w:r>
      <w:proofErr w:type="gramEnd"/>
      <w:r w:rsidRPr="00F913E1">
        <w:rPr>
          <w:rFonts w:ascii="Arial" w:hAnsi="Arial" w:cs="Arial"/>
          <w:i/>
          <w:iCs/>
          <w:color w:val="002060"/>
          <w:sz w:val="20"/>
          <w:szCs w:val="22"/>
          <w:bdr w:val="none" w:sz="0" w:space="0" w:color="auto" w:frame="1"/>
        </w:rPr>
        <w:t xml:space="preserve">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lastRenderedPageBreak/>
        <w:t>Further information:</w:t>
      </w:r>
      <w:r w:rsidRPr="00F913E1">
        <w:rPr>
          <w:rFonts w:ascii="Arial" w:hAnsi="Arial" w:cs="Arial"/>
          <w:color w:val="201F1E"/>
          <w:sz w:val="22"/>
          <w:bdr w:val="none" w:sz="0" w:space="0" w:color="auto" w:frame="1"/>
        </w:rPr>
        <w:t> </w:t>
      </w:r>
      <w:hyperlink r:id="rId25"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6"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07D9683" w14:textId="77777777" w:rsidR="00941CC6" w:rsidRDefault="00941CC6"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568D7210" w14:textId="77777777" w:rsidR="00941CC6" w:rsidRPr="00D52253" w:rsidRDefault="00941CC6" w:rsidP="00941CC6">
      <w:pPr>
        <w:kinsoku w:val="0"/>
        <w:overflowPunct w:val="0"/>
        <w:jc w:val="both"/>
        <w:rPr>
          <w:rFonts w:ascii="Arial" w:hAnsi="Arial" w:cs="Arial"/>
          <w:b/>
          <w:bCs/>
          <w:color w:val="002060"/>
        </w:rPr>
      </w:pPr>
      <w:r w:rsidRPr="00D52253">
        <w:rPr>
          <w:rFonts w:ascii="Arial" w:hAnsi="Arial" w:cs="Arial"/>
          <w:bCs/>
          <w:color w:val="002060"/>
          <w:u w:val="single"/>
        </w:rPr>
        <w:t>The Department/Specialty – Facilities, Resources and Activity</w:t>
      </w:r>
    </w:p>
    <w:p w14:paraId="23DD765C" w14:textId="77777777" w:rsidR="00941CC6" w:rsidRPr="0009307A" w:rsidRDefault="00941CC6" w:rsidP="00941CC6">
      <w:pPr>
        <w:pStyle w:val="BodyText1"/>
        <w:spacing w:after="0" w:line="240" w:lineRule="auto"/>
        <w:ind w:right="-902"/>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941CC6" w14:paraId="1649EED0" w14:textId="77777777" w:rsidTr="00E76865">
        <w:tc>
          <w:tcPr>
            <w:tcW w:w="9180" w:type="dxa"/>
            <w:shd w:val="clear" w:color="auto" w:fill="DBE5F1"/>
            <w:vAlign w:val="center"/>
          </w:tcPr>
          <w:p w14:paraId="02126218" w14:textId="77777777" w:rsidR="00941CC6" w:rsidRPr="00153A1E" w:rsidRDefault="00941CC6" w:rsidP="00E76865">
            <w:pPr>
              <w:widowControl w:val="0"/>
              <w:spacing w:before="60" w:after="60"/>
              <w:ind w:right="-902"/>
              <w:jc w:val="both"/>
              <w:rPr>
                <w:rFonts w:ascii="Arial" w:hAnsi="Arial" w:cs="Arial"/>
                <w:b/>
                <w:color w:val="000000"/>
              </w:rPr>
            </w:pPr>
            <w:r>
              <w:rPr>
                <w:rFonts w:ascii="Arial" w:hAnsi="Arial" w:cs="Arial"/>
                <w:b/>
                <w:color w:val="000000"/>
              </w:rPr>
              <w:t xml:space="preserve">Medical Specialties and Operational Management Structure  </w:t>
            </w:r>
          </w:p>
        </w:tc>
      </w:tr>
    </w:tbl>
    <w:p w14:paraId="27BCDC90" w14:textId="77777777" w:rsidR="00941CC6" w:rsidRPr="00F5503C" w:rsidRDefault="00941CC6" w:rsidP="00941CC6">
      <w:pPr>
        <w:ind w:right="-902"/>
        <w:jc w:val="both"/>
        <w:rPr>
          <w:rFonts w:ascii="Arial" w:hAnsi="Arial" w:cs="Arial"/>
          <w:color w:val="002060"/>
        </w:rPr>
      </w:pPr>
    </w:p>
    <w:p w14:paraId="13664A32" w14:textId="77777777" w:rsidR="00941CC6" w:rsidRPr="00247B5A" w:rsidRDefault="00941CC6" w:rsidP="00941CC6">
      <w:pPr>
        <w:kinsoku w:val="0"/>
        <w:overflowPunct w:val="0"/>
        <w:jc w:val="both"/>
        <w:rPr>
          <w:rFonts w:ascii="Arial" w:hAnsi="Arial" w:cs="Arial"/>
          <w:b/>
          <w:bCs/>
          <w:color w:val="002060"/>
          <w:u w:val="single"/>
        </w:rPr>
      </w:pPr>
      <w:r w:rsidRPr="00247B5A">
        <w:rPr>
          <w:rFonts w:ascii="Arial" w:hAnsi="Arial" w:cs="Arial"/>
          <w:b/>
          <w:bCs/>
          <w:color w:val="002060"/>
          <w:u w:val="single"/>
        </w:rPr>
        <w:t>Senior Medical Staffing Structure</w:t>
      </w:r>
    </w:p>
    <w:p w14:paraId="56391763" w14:textId="77777777" w:rsidR="00941CC6" w:rsidRPr="00247B5A" w:rsidRDefault="00941CC6" w:rsidP="00941CC6">
      <w:pPr>
        <w:kinsoku w:val="0"/>
        <w:overflowPunct w:val="0"/>
        <w:jc w:val="both"/>
        <w:rPr>
          <w:rFonts w:ascii="Arial" w:hAnsi="Arial" w:cs="Arial"/>
          <w:b/>
          <w:bCs/>
          <w:color w:val="002060"/>
          <w:u w:val="single"/>
        </w:rPr>
      </w:pPr>
    </w:p>
    <w:p w14:paraId="674305C8" w14:textId="77777777" w:rsidR="00941CC6" w:rsidRDefault="00941CC6" w:rsidP="00941CC6">
      <w:pPr>
        <w:kinsoku w:val="0"/>
        <w:overflowPunct w:val="0"/>
        <w:jc w:val="both"/>
        <w:rPr>
          <w:rFonts w:ascii="Arial" w:hAnsi="Arial" w:cs="Arial"/>
          <w:bCs/>
          <w:color w:val="002060"/>
        </w:rPr>
      </w:pPr>
      <w:r w:rsidRPr="0059775C">
        <w:rPr>
          <w:rFonts w:ascii="Arial" w:hAnsi="Arial" w:cs="Arial"/>
          <w:bCs/>
          <w:color w:val="002060"/>
        </w:rPr>
        <w:t xml:space="preserve">Chief </w:t>
      </w:r>
      <w:r>
        <w:rPr>
          <w:rFonts w:ascii="Arial" w:hAnsi="Arial" w:cs="Arial"/>
          <w:bCs/>
          <w:color w:val="002060"/>
        </w:rPr>
        <w:t>of Medicine - Ms Mary Brown</w:t>
      </w:r>
    </w:p>
    <w:p w14:paraId="1141BB2D"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Deputy Chief of Medicine - Mr Paul Jenkins </w:t>
      </w:r>
    </w:p>
    <w:p w14:paraId="21B667F2"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Clinical Director - Vacant</w:t>
      </w:r>
    </w:p>
    <w:p w14:paraId="6DBE6409"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Lead Respiratory - Dr George Chalmers</w:t>
      </w:r>
    </w:p>
    <w:p w14:paraId="3C10A528"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Lead Rheumatologist - Dr Laura McGregor</w:t>
      </w:r>
    </w:p>
    <w:p w14:paraId="659CBAFB"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Lead Diabetes and Endocrinologist -Dr David Carty</w:t>
      </w:r>
    </w:p>
    <w:p w14:paraId="48BE2C04"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Lead Cardiologist - Dr Karen Hogg  </w:t>
      </w:r>
    </w:p>
    <w:p w14:paraId="42AB6075"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Lead Gastroenterologist - Dr Aidan Cahill </w:t>
      </w:r>
    </w:p>
    <w:p w14:paraId="43A03B86" w14:textId="77777777" w:rsidR="00941CC6" w:rsidRDefault="00941CC6" w:rsidP="00941CC6">
      <w:pPr>
        <w:kinsoku w:val="0"/>
        <w:overflowPunct w:val="0"/>
        <w:jc w:val="both"/>
        <w:rPr>
          <w:rFonts w:ascii="Arial" w:hAnsi="Arial" w:cs="Arial"/>
          <w:bCs/>
          <w:color w:val="002060"/>
        </w:rPr>
      </w:pPr>
    </w:p>
    <w:p w14:paraId="75186768" w14:textId="77777777" w:rsidR="00941CC6" w:rsidRPr="00247B5A" w:rsidRDefault="00941CC6" w:rsidP="00941CC6">
      <w:pPr>
        <w:kinsoku w:val="0"/>
        <w:overflowPunct w:val="0"/>
        <w:jc w:val="both"/>
        <w:rPr>
          <w:rFonts w:ascii="Arial" w:hAnsi="Arial" w:cs="Arial"/>
          <w:b/>
          <w:bCs/>
          <w:color w:val="002060"/>
          <w:u w:val="single"/>
        </w:rPr>
      </w:pPr>
      <w:r w:rsidRPr="00247B5A">
        <w:rPr>
          <w:rFonts w:ascii="Arial" w:hAnsi="Arial" w:cs="Arial"/>
          <w:b/>
          <w:bCs/>
          <w:color w:val="002060"/>
          <w:u w:val="single"/>
        </w:rPr>
        <w:t>Senior Management Structure</w:t>
      </w:r>
    </w:p>
    <w:p w14:paraId="4443F7EB" w14:textId="77777777" w:rsidR="00941CC6" w:rsidRDefault="00941CC6" w:rsidP="00941CC6">
      <w:pPr>
        <w:kinsoku w:val="0"/>
        <w:overflowPunct w:val="0"/>
        <w:jc w:val="both"/>
        <w:rPr>
          <w:rFonts w:ascii="Arial" w:hAnsi="Arial" w:cs="Arial"/>
          <w:bCs/>
          <w:color w:val="002060"/>
          <w:u w:val="single"/>
        </w:rPr>
      </w:pPr>
    </w:p>
    <w:p w14:paraId="7E8AC503" w14:textId="77777777" w:rsidR="00941CC6" w:rsidRDefault="00941CC6" w:rsidP="00941CC6">
      <w:pPr>
        <w:kinsoku w:val="0"/>
        <w:overflowPunct w:val="0"/>
        <w:jc w:val="both"/>
        <w:rPr>
          <w:rFonts w:ascii="Arial" w:hAnsi="Arial" w:cs="Arial"/>
          <w:bCs/>
          <w:color w:val="002060"/>
        </w:rPr>
      </w:pPr>
      <w:r w:rsidRPr="0059775C">
        <w:rPr>
          <w:rFonts w:ascii="Arial" w:hAnsi="Arial" w:cs="Arial"/>
          <w:bCs/>
          <w:color w:val="002060"/>
        </w:rPr>
        <w:t xml:space="preserve">Director </w:t>
      </w:r>
      <w:r>
        <w:rPr>
          <w:rFonts w:ascii="Arial" w:hAnsi="Arial" w:cs="Arial"/>
          <w:bCs/>
          <w:color w:val="002060"/>
        </w:rPr>
        <w:t>-</w:t>
      </w:r>
      <w:r w:rsidRPr="0059775C">
        <w:rPr>
          <w:rFonts w:ascii="Arial" w:hAnsi="Arial" w:cs="Arial"/>
          <w:bCs/>
          <w:color w:val="002060"/>
        </w:rPr>
        <w:t xml:space="preserve"> Mr Neil McCallum </w:t>
      </w:r>
    </w:p>
    <w:p w14:paraId="2CB511B5"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General Manager- Mrs Rebecca Reid </w:t>
      </w:r>
    </w:p>
    <w:p w14:paraId="39750BEB"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Clinical Service Manager - Ms Rosemary Brogan </w:t>
      </w:r>
    </w:p>
    <w:p w14:paraId="5A5714EE" w14:textId="77777777" w:rsidR="00941CC6" w:rsidRDefault="00941CC6" w:rsidP="00941CC6">
      <w:pPr>
        <w:kinsoku w:val="0"/>
        <w:overflowPunct w:val="0"/>
        <w:jc w:val="both"/>
        <w:rPr>
          <w:rFonts w:ascii="Arial" w:hAnsi="Arial" w:cs="Arial"/>
          <w:bCs/>
          <w:color w:val="002060"/>
        </w:rPr>
      </w:pPr>
    </w:p>
    <w:p w14:paraId="59CAD124" w14:textId="77777777" w:rsidR="00941CC6" w:rsidRPr="00247B5A" w:rsidRDefault="00941CC6" w:rsidP="00941CC6">
      <w:pPr>
        <w:kinsoku w:val="0"/>
        <w:overflowPunct w:val="0"/>
        <w:jc w:val="both"/>
        <w:rPr>
          <w:rFonts w:ascii="Arial" w:hAnsi="Arial" w:cs="Arial"/>
          <w:b/>
          <w:bCs/>
          <w:color w:val="002060"/>
          <w:u w:val="single"/>
        </w:rPr>
      </w:pPr>
      <w:r w:rsidRPr="00247B5A">
        <w:rPr>
          <w:rFonts w:ascii="Arial" w:hAnsi="Arial" w:cs="Arial"/>
          <w:b/>
          <w:bCs/>
          <w:color w:val="002060"/>
          <w:u w:val="single"/>
        </w:rPr>
        <w:t>Senior Nursing Structure</w:t>
      </w:r>
    </w:p>
    <w:p w14:paraId="54C63462" w14:textId="77777777" w:rsidR="00941CC6" w:rsidRDefault="00941CC6" w:rsidP="00941CC6">
      <w:pPr>
        <w:kinsoku w:val="0"/>
        <w:overflowPunct w:val="0"/>
        <w:jc w:val="both"/>
        <w:rPr>
          <w:rFonts w:ascii="Arial" w:hAnsi="Arial" w:cs="Arial"/>
          <w:bCs/>
          <w:color w:val="002060"/>
        </w:rPr>
      </w:pPr>
    </w:p>
    <w:p w14:paraId="52D4796E"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Interim Chief of Nursing - Mr Kevin </w:t>
      </w:r>
      <w:proofErr w:type="spellStart"/>
      <w:r>
        <w:rPr>
          <w:rFonts w:ascii="Arial" w:hAnsi="Arial" w:cs="Arial"/>
          <w:bCs/>
          <w:color w:val="002060"/>
        </w:rPr>
        <w:t>McAuley</w:t>
      </w:r>
      <w:proofErr w:type="spellEnd"/>
    </w:p>
    <w:p w14:paraId="3C434508"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Interim Associate Chief of Nursing - Ms Ashleigh Irons</w:t>
      </w:r>
    </w:p>
    <w:p w14:paraId="7BBC1619" w14:textId="77777777" w:rsidR="00941CC6" w:rsidRDefault="00941CC6" w:rsidP="00941CC6">
      <w:pPr>
        <w:kinsoku w:val="0"/>
        <w:overflowPunct w:val="0"/>
        <w:jc w:val="both"/>
        <w:rPr>
          <w:rFonts w:ascii="Arial" w:hAnsi="Arial" w:cs="Arial"/>
          <w:bCs/>
          <w:color w:val="002060"/>
        </w:rPr>
      </w:pPr>
      <w:r>
        <w:rPr>
          <w:rFonts w:ascii="Arial" w:hAnsi="Arial" w:cs="Arial"/>
          <w:bCs/>
          <w:color w:val="002060"/>
        </w:rPr>
        <w:t xml:space="preserve">Medical Lead Nurse - Ms Anna </w:t>
      </w:r>
      <w:proofErr w:type="spellStart"/>
      <w:r>
        <w:rPr>
          <w:rFonts w:ascii="Arial" w:hAnsi="Arial" w:cs="Arial"/>
          <w:bCs/>
          <w:color w:val="002060"/>
        </w:rPr>
        <w:t>Syme</w:t>
      </w:r>
      <w:proofErr w:type="spellEnd"/>
    </w:p>
    <w:p w14:paraId="79A8C73F" w14:textId="77777777" w:rsidR="00941CC6" w:rsidRPr="0059775C" w:rsidRDefault="00941CC6" w:rsidP="00941CC6">
      <w:pPr>
        <w:kinsoku w:val="0"/>
        <w:overflowPunct w:val="0"/>
        <w:jc w:val="both"/>
        <w:rPr>
          <w:rFonts w:ascii="Arial" w:hAnsi="Arial" w:cs="Arial"/>
          <w:bCs/>
          <w:color w:val="002060"/>
        </w:rPr>
      </w:pPr>
      <w:r>
        <w:rPr>
          <w:rFonts w:ascii="Arial" w:hAnsi="Arial" w:cs="Arial"/>
          <w:bCs/>
          <w:color w:val="002060"/>
        </w:rPr>
        <w:t xml:space="preserve">Medical Lead Nurse - Mrs E Thomson  </w:t>
      </w:r>
    </w:p>
    <w:p w14:paraId="5AF0B9FD" w14:textId="77777777" w:rsidR="00941CC6" w:rsidRPr="0059775C" w:rsidRDefault="00941CC6" w:rsidP="00941CC6">
      <w:pPr>
        <w:kinsoku w:val="0"/>
        <w:overflowPunct w:val="0"/>
        <w:jc w:val="both"/>
        <w:rPr>
          <w:rFonts w:ascii="Arial" w:hAnsi="Arial" w:cs="Arial"/>
          <w:bCs/>
          <w:color w:val="002060"/>
          <w:u w:val="single"/>
        </w:rPr>
      </w:pPr>
    </w:p>
    <w:p w14:paraId="601C13B9" w14:textId="77777777" w:rsidR="00941CC6" w:rsidRDefault="00941CC6" w:rsidP="00941CC6">
      <w:pPr>
        <w:ind w:right="-902"/>
        <w:jc w:val="both"/>
        <w:rPr>
          <w:rFonts w:ascii="Arial" w:hAnsi="Arial" w:cs="Arial"/>
          <w:color w:val="00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41CC6" w14:paraId="5CB58443" w14:textId="77777777" w:rsidTr="00E76865">
        <w:tc>
          <w:tcPr>
            <w:tcW w:w="9072" w:type="dxa"/>
            <w:shd w:val="clear" w:color="auto" w:fill="DBE5F1"/>
            <w:vAlign w:val="center"/>
          </w:tcPr>
          <w:p w14:paraId="302D80DE" w14:textId="77777777" w:rsidR="00941CC6" w:rsidRPr="00153A1E" w:rsidRDefault="00941CC6" w:rsidP="00E76865">
            <w:pPr>
              <w:widowControl w:val="0"/>
              <w:spacing w:before="60" w:after="60"/>
              <w:ind w:right="-902"/>
              <w:jc w:val="both"/>
              <w:rPr>
                <w:rFonts w:ascii="Arial" w:hAnsi="Arial" w:cs="Arial"/>
                <w:b/>
                <w:color w:val="000000"/>
              </w:rPr>
            </w:pPr>
            <w:r>
              <w:rPr>
                <w:rFonts w:ascii="Arial" w:hAnsi="Arial" w:cs="Arial"/>
                <w:b/>
                <w:color w:val="000000"/>
              </w:rPr>
              <w:t>THE ACUTE OPERATING DIVISION</w:t>
            </w:r>
          </w:p>
        </w:tc>
      </w:tr>
    </w:tbl>
    <w:p w14:paraId="3A9FE059" w14:textId="77777777" w:rsidR="00941CC6" w:rsidRPr="00792706" w:rsidRDefault="00941CC6" w:rsidP="00941CC6">
      <w:pPr>
        <w:ind w:right="-902"/>
        <w:jc w:val="both"/>
        <w:rPr>
          <w:rFonts w:ascii="Arial" w:hAnsi="Arial" w:cs="Arial"/>
          <w:color w:val="37424A"/>
        </w:rPr>
      </w:pPr>
    </w:p>
    <w:p w14:paraId="226E804A" w14:textId="77777777" w:rsidR="00941CC6" w:rsidRPr="00F5503C" w:rsidRDefault="00941CC6" w:rsidP="00941CC6">
      <w:pPr>
        <w:ind w:right="-737"/>
        <w:jc w:val="both"/>
        <w:rPr>
          <w:rFonts w:ascii="Arial" w:hAnsi="Arial" w:cs="Arial"/>
          <w:color w:val="002060"/>
        </w:rPr>
      </w:pPr>
      <w:r w:rsidRPr="00F5503C">
        <w:rPr>
          <w:rFonts w:ascii="Arial" w:hAnsi="Arial" w:cs="Arial"/>
          <w:color w:val="002060"/>
        </w:rPr>
        <w:t xml:space="preserve">At GRI medical emergencies are admitted through ED or AAU to an Acute Medicine Unit (AMU). Acute admissions to medicine range from 55 to 80 per day. The AMU comprises 5 geographically defined ward areas covered by specific specialty teams – general medical, respiratory, gastroenterology and medicine for the elderly. Where bed availability permits patients with specific conditions will be triaged to the appropriate specialty team e.g. patient with GI bleed to gastroenterology area. 5 consultant physicians take part in acute receiving each day in the AMU with morning and evening ward rounds. In addition there is a gastroenterology consult service. There is a 40 bedded cardiology ward (ward 43) with 20 acute cardiology receiving beds and a coronary care unit (CCU). Those needing admission for a primary </w:t>
      </w:r>
      <w:proofErr w:type="spellStart"/>
      <w:r w:rsidRPr="00F5503C">
        <w:rPr>
          <w:rFonts w:ascii="Arial" w:hAnsi="Arial" w:cs="Arial"/>
          <w:color w:val="002060"/>
        </w:rPr>
        <w:t>cardiological</w:t>
      </w:r>
      <w:proofErr w:type="spellEnd"/>
      <w:r w:rsidRPr="00F5503C">
        <w:rPr>
          <w:rFonts w:ascii="Arial" w:hAnsi="Arial" w:cs="Arial"/>
          <w:color w:val="002060"/>
        </w:rPr>
        <w:t xml:space="preserve"> problem go from ED or AAU to the acute cardiology beds in ward 43. The cardiologists also provide a daily consult service to patients needing review but in the AMU.</w:t>
      </w:r>
    </w:p>
    <w:p w14:paraId="043C5514" w14:textId="77777777" w:rsidR="00941CC6" w:rsidRPr="00F5503C" w:rsidRDefault="00941CC6" w:rsidP="00941CC6">
      <w:pPr>
        <w:ind w:right="-737"/>
        <w:jc w:val="both"/>
        <w:rPr>
          <w:rFonts w:ascii="Arial" w:hAnsi="Arial" w:cs="Arial"/>
          <w:color w:val="002060"/>
        </w:rPr>
      </w:pPr>
    </w:p>
    <w:p w14:paraId="19988A9A" w14:textId="77777777" w:rsidR="00941CC6" w:rsidRPr="00F5503C" w:rsidRDefault="00941CC6" w:rsidP="00941CC6">
      <w:pPr>
        <w:ind w:right="-737"/>
        <w:jc w:val="both"/>
        <w:rPr>
          <w:rFonts w:ascii="Arial" w:hAnsi="Arial" w:cs="Arial"/>
          <w:color w:val="002060"/>
        </w:rPr>
      </w:pPr>
      <w:r w:rsidRPr="00F5503C">
        <w:rPr>
          <w:rFonts w:ascii="Arial" w:hAnsi="Arial" w:cs="Arial"/>
          <w:color w:val="002060"/>
        </w:rPr>
        <w:t xml:space="preserve">Patients requiring a short stay will be discharged from AMU/ACRU. Those requiring longer stays are transferred ‘downstream’ to medical speciality/general internal medicine wards. These ‘downstream’ medical wards are split into specialty units. 5 specialty units have primary responsibility to general (internal) medicine, namely, Respiratory Medicine, Rheumatology, Gastroenterology, Diabetes &amp;Endocrinology and Cardiology. Consultants from the department of medicine for the elderly (DOME) contribute to receiving duties, but also have a number of inpatient wards in Glasgow Royal Infirmary with additional beds at </w:t>
      </w:r>
      <w:proofErr w:type="spellStart"/>
      <w:r w:rsidRPr="00F5503C">
        <w:rPr>
          <w:rFonts w:ascii="Arial" w:hAnsi="Arial" w:cs="Arial"/>
          <w:color w:val="002060"/>
        </w:rPr>
        <w:t>Lightburn</w:t>
      </w:r>
      <w:proofErr w:type="spellEnd"/>
      <w:r w:rsidRPr="00F5503C">
        <w:rPr>
          <w:rFonts w:ascii="Arial" w:hAnsi="Arial" w:cs="Arial"/>
          <w:color w:val="002060"/>
        </w:rPr>
        <w:t xml:space="preserve"> Hospital and </w:t>
      </w:r>
      <w:proofErr w:type="spellStart"/>
      <w:r w:rsidRPr="00F5503C">
        <w:rPr>
          <w:rFonts w:ascii="Arial" w:hAnsi="Arial" w:cs="Arial"/>
          <w:color w:val="002060"/>
        </w:rPr>
        <w:t>Stobhill</w:t>
      </w:r>
      <w:proofErr w:type="spellEnd"/>
      <w:r w:rsidRPr="00F5503C">
        <w:rPr>
          <w:rFonts w:ascii="Arial" w:hAnsi="Arial" w:cs="Arial"/>
          <w:color w:val="002060"/>
        </w:rPr>
        <w:t xml:space="preserve"> Hospital. There are 38 acute stroke beds in GRI at present; GRI has provided stroke thrombolysis with 5 </w:t>
      </w:r>
      <w:proofErr w:type="spellStart"/>
      <w:r w:rsidRPr="00F5503C">
        <w:rPr>
          <w:rFonts w:ascii="Arial" w:hAnsi="Arial" w:cs="Arial"/>
          <w:color w:val="002060"/>
        </w:rPr>
        <w:t>hyperacute</w:t>
      </w:r>
      <w:proofErr w:type="spellEnd"/>
      <w:r w:rsidRPr="00F5503C">
        <w:rPr>
          <w:rFonts w:ascii="Arial" w:hAnsi="Arial" w:cs="Arial"/>
          <w:color w:val="002060"/>
        </w:rPr>
        <w:t xml:space="preserve"> stroke beds since September 2015. </w:t>
      </w:r>
    </w:p>
    <w:p w14:paraId="0C0A017A" w14:textId="77777777" w:rsidR="00941CC6" w:rsidRPr="00E1393C" w:rsidRDefault="00941CC6" w:rsidP="00941CC6">
      <w:pPr>
        <w:ind w:right="-737"/>
        <w:jc w:val="both"/>
        <w:rPr>
          <w:rFonts w:ascii="Arial" w:hAnsi="Arial" w:cs="Arial"/>
        </w:rPr>
      </w:pPr>
    </w:p>
    <w:p w14:paraId="76E75C64" w14:textId="77777777" w:rsidR="00941CC6" w:rsidRDefault="00941CC6" w:rsidP="00941CC6">
      <w:pPr>
        <w:ind w:right="-902"/>
        <w:jc w:val="both"/>
        <w:rPr>
          <w:rFonts w:ascii="Arial" w:hAnsi="Arial" w:cs="Arial"/>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941CC6" w14:paraId="676FBBF2" w14:textId="77777777" w:rsidTr="00E76865">
        <w:tc>
          <w:tcPr>
            <w:tcW w:w="9180" w:type="dxa"/>
            <w:shd w:val="clear" w:color="auto" w:fill="DBE5F1"/>
            <w:vAlign w:val="center"/>
          </w:tcPr>
          <w:p w14:paraId="24D05593" w14:textId="77777777" w:rsidR="00941CC6" w:rsidRPr="00153A1E" w:rsidRDefault="00941CC6" w:rsidP="00E76865">
            <w:pPr>
              <w:widowControl w:val="0"/>
              <w:spacing w:before="60" w:after="60"/>
              <w:ind w:right="-902"/>
              <w:jc w:val="both"/>
              <w:rPr>
                <w:rFonts w:ascii="Arial" w:hAnsi="Arial" w:cs="Arial"/>
                <w:b/>
                <w:color w:val="000000"/>
              </w:rPr>
            </w:pPr>
            <w:r w:rsidRPr="00DC563D">
              <w:rPr>
                <w:rFonts w:ascii="Arial" w:hAnsi="Arial" w:cs="Arial"/>
                <w:b/>
                <w:color w:val="000000"/>
              </w:rPr>
              <w:t>GLASGOW ROYAL INFIRMARY</w:t>
            </w:r>
          </w:p>
        </w:tc>
      </w:tr>
    </w:tbl>
    <w:p w14:paraId="448A210F" w14:textId="77777777" w:rsidR="00941CC6" w:rsidRDefault="00941CC6" w:rsidP="00941CC6">
      <w:pPr>
        <w:ind w:right="-902"/>
        <w:jc w:val="both"/>
        <w:rPr>
          <w:rFonts w:ascii="Arial" w:hAnsi="Arial" w:cs="Arial"/>
          <w:sz w:val="22"/>
          <w:szCs w:val="22"/>
          <w:lang w:val="en-US"/>
        </w:rPr>
      </w:pPr>
    </w:p>
    <w:p w14:paraId="022316BE" w14:textId="77777777" w:rsidR="00941CC6" w:rsidRPr="00F5503C" w:rsidRDefault="00941CC6" w:rsidP="00941CC6">
      <w:pPr>
        <w:ind w:right="-619"/>
        <w:jc w:val="both"/>
        <w:rPr>
          <w:rFonts w:ascii="Arial" w:hAnsi="Arial" w:cs="Arial"/>
          <w:color w:val="002060"/>
        </w:rPr>
      </w:pPr>
      <w:r w:rsidRPr="00F5503C">
        <w:rPr>
          <w:rFonts w:ascii="Arial" w:hAnsi="Arial" w:cs="Arial"/>
          <w:color w:val="002060"/>
        </w:rPr>
        <w:t>Glasgow Royal Infirmary, in the east of the city, is a very large teaching hospital providing regional, supra-regional and national acute clinical services. Since 2015, further work has ensured that the Royal Infirmary is fully equipped to serve as the main inpatient hospital for the north and east of the NHSGGC area.</w:t>
      </w:r>
    </w:p>
    <w:p w14:paraId="172C25C8" w14:textId="77777777" w:rsidR="00941CC6" w:rsidRPr="00F5503C" w:rsidRDefault="00941CC6" w:rsidP="00941CC6">
      <w:pPr>
        <w:ind w:right="-335"/>
        <w:jc w:val="both"/>
        <w:rPr>
          <w:rFonts w:ascii="Arial" w:hAnsi="Arial" w:cs="Arial"/>
          <w:color w:val="002060"/>
        </w:rPr>
      </w:pPr>
    </w:p>
    <w:p w14:paraId="13B22A53" w14:textId="77777777" w:rsidR="00941CC6" w:rsidRPr="00F5503C" w:rsidRDefault="00941CC6" w:rsidP="00941CC6">
      <w:pPr>
        <w:ind w:right="-619"/>
        <w:jc w:val="both"/>
        <w:rPr>
          <w:rFonts w:ascii="Arial" w:hAnsi="Arial" w:cs="Arial"/>
          <w:color w:val="002060"/>
          <w:lang w:val="en-US"/>
        </w:rPr>
      </w:pPr>
      <w:r w:rsidRPr="00F5503C">
        <w:rPr>
          <w:rFonts w:ascii="Arial" w:hAnsi="Arial" w:cs="Arial"/>
          <w:color w:val="002060"/>
          <w:lang w:val="en-US"/>
        </w:rPr>
        <w:t xml:space="preserve">The Acute Services Division is the largest group of adult acute hospitals in Scotland. It enjoys close links with Glasgow’s three universities and makes a significant contribution to teaching at both undergraduate and postgraduate level. Research also has a high profile within the </w:t>
      </w:r>
      <w:proofErr w:type="spellStart"/>
      <w:r w:rsidRPr="00F5503C">
        <w:rPr>
          <w:rFonts w:ascii="Arial" w:hAnsi="Arial" w:cs="Arial"/>
          <w:color w:val="002060"/>
          <w:lang w:val="en-US"/>
        </w:rPr>
        <w:t>organisation</w:t>
      </w:r>
      <w:proofErr w:type="spellEnd"/>
      <w:r w:rsidRPr="00F5503C">
        <w:rPr>
          <w:rFonts w:ascii="Arial" w:hAnsi="Arial" w:cs="Arial"/>
          <w:color w:val="002060"/>
          <w:lang w:val="en-US"/>
        </w:rPr>
        <w:t xml:space="preserve">. Education facilities are provided at Glasgow Royal Infirmary and the new ambulatory care hospital at </w:t>
      </w:r>
      <w:proofErr w:type="spellStart"/>
      <w:r w:rsidRPr="00F5503C">
        <w:rPr>
          <w:rFonts w:ascii="Arial" w:hAnsi="Arial" w:cs="Arial"/>
          <w:color w:val="002060"/>
          <w:lang w:val="en-US"/>
        </w:rPr>
        <w:t>Stobhill</w:t>
      </w:r>
      <w:proofErr w:type="spellEnd"/>
      <w:r w:rsidRPr="00F5503C">
        <w:rPr>
          <w:rFonts w:ascii="Arial" w:hAnsi="Arial" w:cs="Arial"/>
          <w:color w:val="002060"/>
          <w:lang w:val="en-US"/>
        </w:rPr>
        <w:t xml:space="preserve"> Hospital. The service in North Glasgow presently employs more than 14,300 staff serving a core catchment population of 560,000.</w:t>
      </w:r>
    </w:p>
    <w:p w14:paraId="350E7344" w14:textId="77777777" w:rsidR="00941CC6" w:rsidRPr="00F5503C" w:rsidRDefault="00941CC6" w:rsidP="00941CC6">
      <w:pPr>
        <w:ind w:right="-619"/>
        <w:jc w:val="both"/>
        <w:rPr>
          <w:rFonts w:ascii="Arial" w:hAnsi="Arial" w:cs="Arial"/>
          <w:color w:val="002060"/>
          <w:lang w:val="en-US"/>
        </w:rPr>
      </w:pPr>
    </w:p>
    <w:p w14:paraId="0668CBA0" w14:textId="77777777" w:rsidR="00941CC6" w:rsidRPr="00F5503C" w:rsidRDefault="00941CC6" w:rsidP="00941CC6">
      <w:pPr>
        <w:ind w:right="-619"/>
        <w:jc w:val="both"/>
        <w:rPr>
          <w:rFonts w:ascii="Arial" w:hAnsi="Arial" w:cs="Arial"/>
          <w:color w:val="002060"/>
          <w:lang w:val="en-US"/>
        </w:rPr>
      </w:pPr>
      <w:r w:rsidRPr="00F5503C">
        <w:rPr>
          <w:rFonts w:ascii="Arial" w:hAnsi="Arial" w:cs="Arial"/>
          <w:b/>
          <w:color w:val="002060"/>
          <w:lang w:val="en-US"/>
        </w:rPr>
        <w:t xml:space="preserve">Glasgow Royal Infirmary (GRI) &amp; </w:t>
      </w:r>
      <w:proofErr w:type="spellStart"/>
      <w:r w:rsidRPr="00F5503C">
        <w:rPr>
          <w:rFonts w:ascii="Arial" w:hAnsi="Arial" w:cs="Arial"/>
          <w:b/>
          <w:color w:val="002060"/>
          <w:lang w:val="en-US"/>
        </w:rPr>
        <w:t>Stobhill</w:t>
      </w:r>
      <w:proofErr w:type="spellEnd"/>
      <w:r w:rsidRPr="00F5503C">
        <w:rPr>
          <w:rFonts w:ascii="Arial" w:hAnsi="Arial" w:cs="Arial"/>
          <w:b/>
          <w:color w:val="002060"/>
          <w:lang w:val="en-US"/>
        </w:rPr>
        <w:t xml:space="preserve"> Ambulatory Care Hospital (SACH) </w:t>
      </w:r>
    </w:p>
    <w:p w14:paraId="7D587D62" w14:textId="77777777" w:rsidR="00941CC6" w:rsidRPr="00F5503C" w:rsidRDefault="00941CC6" w:rsidP="00941CC6">
      <w:pPr>
        <w:ind w:right="-619"/>
        <w:jc w:val="both"/>
        <w:rPr>
          <w:rFonts w:ascii="Arial" w:hAnsi="Arial" w:cs="Arial"/>
          <w:color w:val="002060"/>
        </w:rPr>
      </w:pPr>
      <w:r w:rsidRPr="00F5503C">
        <w:rPr>
          <w:rFonts w:ascii="Arial" w:hAnsi="Arial" w:cs="Arial"/>
          <w:color w:val="002060"/>
        </w:rPr>
        <w:t xml:space="preserve">Glasgow Royal Infirmary is one of the major teaching complexes of the University of Glasgow. It provides the Emergency Medicine service for the North Eastern districts of Glasgow and has in-patient beds in general medicine and related specialities, medicine for the elderly, general surgery, orthopaedics, plastic surgery and obstetrics and gynaecology. There are also beds in intensive care, medical and surgical high dependency, hyper-acute stroke and coronary care. Following the closure of </w:t>
      </w:r>
      <w:proofErr w:type="spellStart"/>
      <w:r w:rsidRPr="00F5503C">
        <w:rPr>
          <w:rFonts w:ascii="Arial" w:hAnsi="Arial" w:cs="Arial"/>
          <w:color w:val="002060"/>
        </w:rPr>
        <w:t>Stobhill</w:t>
      </w:r>
      <w:proofErr w:type="spellEnd"/>
      <w:r w:rsidRPr="00F5503C">
        <w:rPr>
          <w:rFonts w:ascii="Arial" w:hAnsi="Arial" w:cs="Arial"/>
          <w:color w:val="002060"/>
        </w:rPr>
        <w:t xml:space="preserve"> Hospital March 2011 all acute medical beds, with the exception of some long-stay care of the elderly beds, are on the GRI site. The </w:t>
      </w:r>
      <w:proofErr w:type="spellStart"/>
      <w:r w:rsidRPr="00F5503C">
        <w:rPr>
          <w:rFonts w:ascii="Arial" w:hAnsi="Arial" w:cs="Arial"/>
          <w:color w:val="002060"/>
        </w:rPr>
        <w:t>Stobhill</w:t>
      </w:r>
      <w:proofErr w:type="spellEnd"/>
      <w:r w:rsidRPr="00F5503C">
        <w:rPr>
          <w:rFonts w:ascii="Arial" w:hAnsi="Arial" w:cs="Arial"/>
          <w:color w:val="002060"/>
        </w:rPr>
        <w:t xml:space="preserve"> Ambulatory Care Hospital is a modern purpose built ACH providing a full range of out-patient and ambulatory care services including an ENP led Minor Injuries Unit (MIU). Radiology, Cardiology and Respiratory diagnostic services are provided both at GRI and SACH.</w:t>
      </w:r>
    </w:p>
    <w:p w14:paraId="46CF04A6" w14:textId="77777777" w:rsidR="00941CC6" w:rsidRPr="00F5503C" w:rsidRDefault="00941CC6" w:rsidP="00941CC6">
      <w:pPr>
        <w:ind w:right="-619"/>
        <w:jc w:val="both"/>
        <w:rPr>
          <w:rFonts w:ascii="Arial" w:hAnsi="Arial" w:cs="Arial"/>
          <w:color w:val="002060"/>
        </w:rPr>
      </w:pPr>
    </w:p>
    <w:p w14:paraId="0EF22B73" w14:textId="77777777" w:rsidR="00941CC6" w:rsidRPr="00F5503C" w:rsidRDefault="00941CC6" w:rsidP="00941CC6">
      <w:pPr>
        <w:ind w:right="-619"/>
        <w:jc w:val="both"/>
        <w:rPr>
          <w:rFonts w:ascii="Arial" w:hAnsi="Arial" w:cs="Arial"/>
          <w:color w:val="002060"/>
        </w:rPr>
      </w:pPr>
    </w:p>
    <w:p w14:paraId="7B7997C4" w14:textId="77777777" w:rsidR="00941CC6" w:rsidRPr="00F5503C" w:rsidRDefault="00941CC6" w:rsidP="00941CC6">
      <w:pPr>
        <w:ind w:right="-619"/>
        <w:jc w:val="both"/>
        <w:rPr>
          <w:rFonts w:ascii="Arial" w:hAnsi="Arial" w:cs="Arial"/>
          <w:b/>
          <w:bCs/>
          <w:color w:val="002060"/>
          <w:sz w:val="32"/>
        </w:rPr>
      </w:pPr>
      <w:r w:rsidRPr="00F5503C">
        <w:rPr>
          <w:rFonts w:ascii="Arial" w:hAnsi="Arial" w:cs="Arial"/>
          <w:color w:val="002060"/>
        </w:rPr>
        <w:t>Staff at GRI and SACH are proud of the close inter-departmental links and co-operation. They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Strathclyde and Glasgow Caledonian Universities. There is a dedicated hospital wide academic programme supported by a strong service educational commitment. GRI and SACH are provided with dedicated education centres and IT support.  Both have excellent reputations in supporting and nurturing its clinical staff and also have an excellent reputation for under and post graduate training</w:t>
      </w:r>
      <w:r w:rsidRPr="00F5503C">
        <w:rPr>
          <w:color w:val="002060"/>
        </w:rPr>
        <w:t xml:space="preserve">.   </w:t>
      </w:r>
    </w:p>
    <w:p w14:paraId="02C034DD" w14:textId="77777777" w:rsidR="00941CC6" w:rsidRDefault="00941CC6" w:rsidP="00941CC6">
      <w:pPr>
        <w:kinsoku w:val="0"/>
        <w:overflowPunct w:val="0"/>
        <w:jc w:val="both"/>
        <w:rPr>
          <w:rFonts w:ascii="Arial" w:hAnsi="Arial" w:cs="Arial"/>
          <w:b/>
          <w:bCs/>
          <w:color w:val="002060"/>
          <w:sz w:val="32"/>
          <w:szCs w:val="32"/>
        </w:rPr>
      </w:pPr>
    </w:p>
    <w:p w14:paraId="0D03E02E" w14:textId="77777777" w:rsidR="00941CC6" w:rsidRDefault="00941CC6" w:rsidP="00941CC6">
      <w:pPr>
        <w:kinsoku w:val="0"/>
        <w:overflowPunct w:val="0"/>
        <w:jc w:val="both"/>
        <w:rPr>
          <w:rFonts w:ascii="Arial" w:hAnsi="Arial" w:cs="Arial"/>
          <w:b/>
          <w:bCs/>
          <w:color w:val="002060"/>
          <w:sz w:val="32"/>
          <w:szCs w:val="32"/>
        </w:rPr>
      </w:pPr>
    </w:p>
    <w:p w14:paraId="68BC0E37" w14:textId="77777777" w:rsidR="00941CC6" w:rsidRDefault="00941CC6" w:rsidP="00941CC6">
      <w:pPr>
        <w:kinsoku w:val="0"/>
        <w:overflowPunct w:val="0"/>
        <w:jc w:val="both"/>
        <w:rPr>
          <w:rFonts w:ascii="Arial" w:hAnsi="Arial" w:cs="Arial"/>
          <w:b/>
          <w:bCs/>
          <w:color w:val="002060"/>
          <w:sz w:val="32"/>
          <w:szCs w:val="32"/>
        </w:rPr>
      </w:pPr>
    </w:p>
    <w:p w14:paraId="117A3517" w14:textId="77777777" w:rsidR="00941CC6" w:rsidRDefault="00941CC6" w:rsidP="00941CC6">
      <w:pPr>
        <w:kinsoku w:val="0"/>
        <w:overflowPunct w:val="0"/>
        <w:jc w:val="both"/>
        <w:rPr>
          <w:rFonts w:ascii="Arial" w:hAnsi="Arial" w:cs="Arial"/>
          <w:b/>
          <w:bCs/>
          <w:color w:val="002060"/>
          <w:sz w:val="32"/>
          <w:szCs w:val="32"/>
        </w:rPr>
      </w:pPr>
    </w:p>
    <w:p w14:paraId="22B8C31A" w14:textId="77777777" w:rsidR="00941CC6" w:rsidRPr="00D52253" w:rsidRDefault="00941CC6" w:rsidP="00941CC6">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14:paraId="2521747F" w14:textId="77777777" w:rsidR="00941CC6" w:rsidRDefault="00941CC6" w:rsidP="00941CC6">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14:paraId="0668E404" w14:textId="54F2B026" w:rsidR="00941CC6" w:rsidRPr="00067415" w:rsidRDefault="00941CC6" w:rsidP="00941CC6">
      <w:pPr>
        <w:kinsoku w:val="0"/>
        <w:overflowPunct w:val="0"/>
        <w:jc w:val="both"/>
        <w:rPr>
          <w:rFonts w:ascii="Arial" w:hAnsi="Arial" w:cs="Arial"/>
          <w:b/>
          <w:bCs/>
          <w:color w:val="002060"/>
        </w:rPr>
      </w:pPr>
      <w:r w:rsidRPr="00067415">
        <w:rPr>
          <w:rFonts w:ascii="Arial" w:hAnsi="Arial" w:cs="Arial"/>
          <w:b/>
          <w:bCs/>
          <w:color w:val="002060"/>
        </w:rPr>
        <w:t>Main Duties</w:t>
      </w:r>
    </w:p>
    <w:p w14:paraId="01002222" w14:textId="77777777" w:rsidR="00941CC6" w:rsidRDefault="00941CC6" w:rsidP="00941CC6">
      <w:pPr>
        <w:kinsoku w:val="0"/>
        <w:overflowPunct w:val="0"/>
        <w:jc w:val="both"/>
        <w:rPr>
          <w:rFonts w:ascii="Arial" w:hAnsi="Arial" w:cs="Arial"/>
          <w:bCs/>
          <w:color w:val="002060"/>
        </w:rPr>
      </w:pPr>
    </w:p>
    <w:p w14:paraId="7D2A1A0F" w14:textId="77777777" w:rsidR="00941CC6" w:rsidRPr="008406B3" w:rsidRDefault="00941CC6" w:rsidP="00941CC6">
      <w:pPr>
        <w:kinsoku w:val="0"/>
        <w:overflowPunct w:val="0"/>
        <w:jc w:val="both"/>
        <w:rPr>
          <w:rFonts w:ascii="Arial" w:hAnsi="Arial" w:cs="Arial"/>
          <w:color w:val="002060"/>
          <w:u w:val="single"/>
        </w:rPr>
      </w:pPr>
      <w:r w:rsidRPr="008406B3">
        <w:rPr>
          <w:rFonts w:ascii="Arial" w:hAnsi="Arial" w:cs="Arial"/>
          <w:color w:val="002060"/>
          <w:u w:val="single"/>
        </w:rPr>
        <w:t>Cl</w:t>
      </w:r>
      <w:r>
        <w:rPr>
          <w:rFonts w:ascii="Arial" w:hAnsi="Arial" w:cs="Arial"/>
          <w:color w:val="002060"/>
          <w:u w:val="single"/>
        </w:rPr>
        <w:t xml:space="preserve">inical </w:t>
      </w:r>
      <w:r w:rsidRPr="008406B3">
        <w:rPr>
          <w:rFonts w:ascii="Arial" w:hAnsi="Arial" w:cs="Arial"/>
          <w:color w:val="002060"/>
          <w:u w:val="single"/>
        </w:rPr>
        <w:t xml:space="preserve">and other duties </w:t>
      </w:r>
    </w:p>
    <w:p w14:paraId="5336BBFE" w14:textId="77777777" w:rsidR="00941CC6" w:rsidRDefault="00941CC6" w:rsidP="00941CC6">
      <w:pPr>
        <w:kinsoku w:val="0"/>
        <w:overflowPunct w:val="0"/>
        <w:jc w:val="both"/>
        <w:rPr>
          <w:rFonts w:ascii="Arial" w:hAnsi="Arial" w:cs="Arial"/>
          <w:color w:val="002060"/>
        </w:rPr>
      </w:pPr>
    </w:p>
    <w:p w14:paraId="75D6DF1B" w14:textId="77777777" w:rsidR="00941CC6" w:rsidRDefault="00941CC6" w:rsidP="00941CC6">
      <w:pPr>
        <w:kinsoku w:val="0"/>
        <w:overflowPunct w:val="0"/>
        <w:jc w:val="both"/>
        <w:rPr>
          <w:rFonts w:ascii="Arial" w:hAnsi="Arial" w:cs="Arial"/>
          <w:color w:val="002060"/>
        </w:rPr>
      </w:pPr>
      <w:r>
        <w:rPr>
          <w:rFonts w:ascii="Arial" w:hAnsi="Arial" w:cs="Arial"/>
          <w:color w:val="002060"/>
        </w:rPr>
        <w:t xml:space="preserve">This post will provide daily senior clinical management of Medical Specialty patients who have completed their care/treatment and await admission from the Emergency Department and the Acute Assessment Unit.  The post will also provide daily senior clinical management and ongoing medical care of Direct Medical Specialty Admissions to non- Medical Specialty beds and in-patients boarded </w:t>
      </w:r>
      <w:proofErr w:type="spellStart"/>
      <w:r>
        <w:rPr>
          <w:rFonts w:ascii="Arial" w:hAnsi="Arial" w:cs="Arial"/>
          <w:color w:val="002060"/>
        </w:rPr>
        <w:t>outwith</w:t>
      </w:r>
      <w:proofErr w:type="spellEnd"/>
      <w:r>
        <w:rPr>
          <w:rFonts w:ascii="Arial" w:hAnsi="Arial" w:cs="Arial"/>
          <w:color w:val="002060"/>
        </w:rPr>
        <w:t xml:space="preserve"> Medical Specialty beds.   Options to provide out-patient activity to support admission avoidance or reduce length of stay will be considered. </w:t>
      </w:r>
    </w:p>
    <w:p w14:paraId="4F39F4DC" w14:textId="77777777" w:rsidR="00941CC6" w:rsidRDefault="00941CC6" w:rsidP="00941CC6">
      <w:pPr>
        <w:kinsoku w:val="0"/>
        <w:overflowPunct w:val="0"/>
        <w:jc w:val="both"/>
        <w:rPr>
          <w:rFonts w:ascii="Arial" w:hAnsi="Arial" w:cs="Arial"/>
          <w:bCs/>
          <w:color w:val="002060"/>
          <w:u w:val="single"/>
        </w:rPr>
      </w:pPr>
    </w:p>
    <w:p w14:paraId="7D73850B" w14:textId="77777777" w:rsidR="00941CC6" w:rsidRPr="00067415" w:rsidRDefault="00941CC6" w:rsidP="00941CC6">
      <w:pPr>
        <w:kinsoku w:val="0"/>
        <w:overflowPunct w:val="0"/>
        <w:jc w:val="both"/>
        <w:rPr>
          <w:rFonts w:ascii="Arial" w:hAnsi="Arial" w:cs="Arial"/>
          <w:bCs/>
          <w:color w:val="002060"/>
          <w:u w:val="single"/>
        </w:rPr>
      </w:pPr>
      <w:r w:rsidRPr="00067415">
        <w:rPr>
          <w:rFonts w:ascii="Arial" w:hAnsi="Arial" w:cs="Arial"/>
          <w:bCs/>
          <w:color w:val="002060"/>
          <w:u w:val="single"/>
        </w:rPr>
        <w:t>Teaching &amp; Training</w:t>
      </w:r>
    </w:p>
    <w:p w14:paraId="53C3F121" w14:textId="77777777" w:rsidR="00941CC6" w:rsidRDefault="00941CC6" w:rsidP="00941CC6">
      <w:pPr>
        <w:kinsoku w:val="0"/>
        <w:overflowPunct w:val="0"/>
        <w:jc w:val="both"/>
        <w:rPr>
          <w:rFonts w:ascii="Arial" w:hAnsi="Arial" w:cs="Arial"/>
          <w:bCs/>
          <w:color w:val="002060"/>
        </w:rPr>
      </w:pPr>
    </w:p>
    <w:p w14:paraId="1F065BD4" w14:textId="77777777" w:rsidR="00941CC6" w:rsidRDefault="00941CC6" w:rsidP="00941CC6">
      <w:pPr>
        <w:kinsoku w:val="0"/>
        <w:overflowPunct w:val="0"/>
        <w:jc w:val="both"/>
        <w:rPr>
          <w:rFonts w:ascii="Arial" w:hAnsi="Arial" w:cs="Arial"/>
          <w:bCs/>
          <w:color w:val="002060"/>
        </w:rPr>
      </w:pPr>
      <w:r w:rsidRPr="00F5503C">
        <w:rPr>
          <w:rFonts w:ascii="Arial" w:hAnsi="Arial" w:cs="Arial"/>
          <w:bCs/>
          <w:color w:val="002060"/>
        </w:rPr>
        <w:t>All clinicians participate in the ongoing educational programme</w:t>
      </w:r>
      <w:r>
        <w:rPr>
          <w:rFonts w:ascii="Arial" w:hAnsi="Arial" w:cs="Arial"/>
          <w:bCs/>
          <w:color w:val="002060"/>
        </w:rPr>
        <w:t>.</w:t>
      </w:r>
      <w:r w:rsidRPr="00F5503C">
        <w:rPr>
          <w:rFonts w:ascii="Arial" w:hAnsi="Arial" w:cs="Arial"/>
          <w:bCs/>
          <w:color w:val="002060"/>
        </w:rPr>
        <w:t xml:space="preserve"> </w:t>
      </w:r>
    </w:p>
    <w:p w14:paraId="51FD8983" w14:textId="77777777" w:rsidR="00941CC6" w:rsidRDefault="00941CC6" w:rsidP="00941CC6">
      <w:pPr>
        <w:kinsoku w:val="0"/>
        <w:overflowPunct w:val="0"/>
        <w:jc w:val="both"/>
        <w:rPr>
          <w:rFonts w:ascii="Arial" w:hAnsi="Arial" w:cs="Arial"/>
          <w:bCs/>
          <w:color w:val="002060"/>
          <w:u w:val="single"/>
        </w:rPr>
      </w:pPr>
    </w:p>
    <w:p w14:paraId="06915AF5" w14:textId="77777777" w:rsidR="00941CC6" w:rsidRPr="00171ECE" w:rsidRDefault="00941CC6" w:rsidP="00941CC6">
      <w:pPr>
        <w:kinsoku w:val="0"/>
        <w:overflowPunct w:val="0"/>
        <w:jc w:val="both"/>
        <w:rPr>
          <w:rFonts w:ascii="Arial" w:hAnsi="Arial" w:cs="Arial"/>
          <w:bCs/>
          <w:color w:val="002060"/>
          <w:u w:val="single"/>
        </w:rPr>
      </w:pPr>
      <w:r w:rsidRPr="00067415">
        <w:rPr>
          <w:rFonts w:ascii="Arial" w:hAnsi="Arial" w:cs="Arial"/>
          <w:bCs/>
          <w:color w:val="002060"/>
          <w:u w:val="single"/>
        </w:rPr>
        <w:t>Continuing Professional Development</w:t>
      </w:r>
    </w:p>
    <w:p w14:paraId="115B1FDB" w14:textId="77777777" w:rsidR="00941CC6" w:rsidRDefault="00941CC6" w:rsidP="00941CC6">
      <w:pPr>
        <w:kinsoku w:val="0"/>
        <w:overflowPunct w:val="0"/>
        <w:jc w:val="both"/>
        <w:rPr>
          <w:rFonts w:ascii="Arial" w:hAnsi="Arial" w:cs="Arial"/>
          <w:bCs/>
          <w:color w:val="002060"/>
        </w:rPr>
      </w:pPr>
    </w:p>
    <w:p w14:paraId="6FE1C688" w14:textId="77777777" w:rsidR="00941CC6" w:rsidRPr="00F5503C" w:rsidRDefault="00941CC6" w:rsidP="00941CC6">
      <w:pPr>
        <w:rPr>
          <w:rFonts w:ascii="Arial" w:hAnsi="Arial" w:cs="Arial"/>
          <w:bCs/>
          <w:color w:val="002060"/>
        </w:rPr>
      </w:pPr>
      <w:r w:rsidRPr="00F5503C">
        <w:rPr>
          <w:rFonts w:ascii="Arial" w:hAnsi="Arial" w:cs="Arial"/>
          <w:color w:val="002060"/>
        </w:rPr>
        <w:t xml:space="preserve">This post will </w:t>
      </w:r>
      <w:r>
        <w:rPr>
          <w:rFonts w:ascii="Arial" w:hAnsi="Arial" w:cs="Arial"/>
          <w:color w:val="002060"/>
        </w:rPr>
        <w:t xml:space="preserve">support access to </w:t>
      </w:r>
      <w:r w:rsidRPr="00F5503C">
        <w:rPr>
          <w:rFonts w:ascii="Arial" w:hAnsi="Arial" w:cs="Arial"/>
          <w:color w:val="002060"/>
        </w:rPr>
        <w:t xml:space="preserve">relevant activities </w:t>
      </w:r>
      <w:r>
        <w:rPr>
          <w:rFonts w:ascii="Arial" w:hAnsi="Arial" w:cs="Arial"/>
          <w:color w:val="002060"/>
        </w:rPr>
        <w:t xml:space="preserve">in continuing </w:t>
      </w:r>
      <w:r w:rsidRPr="00F5503C">
        <w:rPr>
          <w:rFonts w:ascii="Arial" w:hAnsi="Arial" w:cs="Arial"/>
          <w:color w:val="002060"/>
        </w:rPr>
        <w:t xml:space="preserve">professional development.  </w:t>
      </w:r>
    </w:p>
    <w:p w14:paraId="438A5587" w14:textId="77777777" w:rsidR="00941CC6" w:rsidRPr="00067415" w:rsidRDefault="00941CC6" w:rsidP="00941CC6">
      <w:pPr>
        <w:kinsoku w:val="0"/>
        <w:overflowPunct w:val="0"/>
        <w:jc w:val="both"/>
        <w:rPr>
          <w:rFonts w:ascii="Arial" w:hAnsi="Arial" w:cs="Arial"/>
          <w:b/>
          <w:bCs/>
          <w:color w:val="002060"/>
        </w:rPr>
      </w:pPr>
    </w:p>
    <w:p w14:paraId="2CFFFB47" w14:textId="77777777" w:rsidR="00941CC6" w:rsidRDefault="00941CC6" w:rsidP="00941CC6">
      <w:pPr>
        <w:kinsoku w:val="0"/>
        <w:overflowPunct w:val="0"/>
        <w:jc w:val="both"/>
        <w:rPr>
          <w:rFonts w:ascii="Arial" w:hAnsi="Arial" w:cs="Arial"/>
          <w:b/>
          <w:bCs/>
          <w:color w:val="002060"/>
        </w:rPr>
      </w:pPr>
      <w:r w:rsidRPr="00067415">
        <w:rPr>
          <w:rFonts w:ascii="Arial" w:hAnsi="Arial" w:cs="Arial"/>
          <w:b/>
          <w:bCs/>
          <w:color w:val="002060"/>
        </w:rPr>
        <w:t>Out of Hours Commitment</w:t>
      </w:r>
    </w:p>
    <w:p w14:paraId="7357A776" w14:textId="77777777" w:rsidR="00941CC6" w:rsidRDefault="00941CC6" w:rsidP="00941CC6">
      <w:pPr>
        <w:kinsoku w:val="0"/>
        <w:overflowPunct w:val="0"/>
        <w:jc w:val="both"/>
        <w:rPr>
          <w:rFonts w:ascii="Arial" w:hAnsi="Arial" w:cs="Arial"/>
          <w:bCs/>
          <w:color w:val="002060"/>
        </w:rPr>
      </w:pPr>
    </w:p>
    <w:p w14:paraId="04C03D73" w14:textId="77777777" w:rsidR="00941CC6" w:rsidRPr="0076012D" w:rsidRDefault="00941CC6" w:rsidP="00941CC6">
      <w:pPr>
        <w:kinsoku w:val="0"/>
        <w:overflowPunct w:val="0"/>
        <w:jc w:val="both"/>
        <w:rPr>
          <w:rFonts w:ascii="Arial" w:hAnsi="Arial" w:cs="Arial"/>
          <w:bCs/>
          <w:color w:val="002060"/>
        </w:rPr>
      </w:pPr>
      <w:r w:rsidRPr="0076012D">
        <w:rPr>
          <w:rFonts w:ascii="Arial" w:hAnsi="Arial" w:cs="Arial"/>
          <w:bCs/>
          <w:color w:val="002060"/>
        </w:rPr>
        <w:t>This post has no planned Out of Hours commitment</w:t>
      </w:r>
      <w:r>
        <w:rPr>
          <w:rFonts w:ascii="Arial" w:hAnsi="Arial" w:cs="Arial"/>
          <w:bCs/>
          <w:color w:val="002060"/>
        </w:rPr>
        <w:t xml:space="preserve">. </w:t>
      </w:r>
      <w:r w:rsidRPr="0076012D">
        <w:rPr>
          <w:rFonts w:ascii="Arial" w:hAnsi="Arial" w:cs="Arial"/>
          <w:bCs/>
          <w:color w:val="002060"/>
        </w:rPr>
        <w:t xml:space="preserve"> </w:t>
      </w:r>
    </w:p>
    <w:p w14:paraId="5E0227B0" w14:textId="77777777" w:rsidR="00941CC6" w:rsidRPr="0076012D" w:rsidRDefault="00941CC6" w:rsidP="00941CC6">
      <w:pPr>
        <w:kinsoku w:val="0"/>
        <w:overflowPunct w:val="0"/>
        <w:jc w:val="both"/>
        <w:rPr>
          <w:rFonts w:ascii="Arial" w:hAnsi="Arial" w:cs="Arial"/>
          <w:bCs/>
          <w:color w:val="002060"/>
        </w:rPr>
      </w:pPr>
    </w:p>
    <w:p w14:paraId="13B96CA6" w14:textId="77777777" w:rsidR="00941CC6" w:rsidRDefault="00941CC6" w:rsidP="00941CC6">
      <w:pPr>
        <w:kinsoku w:val="0"/>
        <w:overflowPunct w:val="0"/>
        <w:jc w:val="both"/>
        <w:rPr>
          <w:rFonts w:ascii="Arial" w:hAnsi="Arial" w:cs="Arial"/>
          <w:b/>
          <w:bCs/>
          <w:color w:val="002060"/>
        </w:rPr>
      </w:pPr>
      <w:r w:rsidRPr="00067415">
        <w:rPr>
          <w:rFonts w:ascii="Arial" w:hAnsi="Arial" w:cs="Arial"/>
          <w:b/>
          <w:bCs/>
          <w:color w:val="002060"/>
        </w:rPr>
        <w:t>Outline Job Plan (Indicative)</w:t>
      </w:r>
    </w:p>
    <w:p w14:paraId="4B89CA63" w14:textId="77777777" w:rsidR="00941CC6" w:rsidRDefault="00941CC6" w:rsidP="00941CC6">
      <w:pPr>
        <w:kinsoku w:val="0"/>
        <w:overflowPunct w:val="0"/>
        <w:jc w:val="both"/>
        <w:rPr>
          <w:rFonts w:ascii="Arial" w:hAnsi="Arial" w:cs="Arial"/>
          <w:b/>
          <w:bCs/>
          <w:color w:val="002060"/>
        </w:rPr>
      </w:pPr>
    </w:p>
    <w:p w14:paraId="002606A5" w14:textId="77777777" w:rsidR="00941CC6" w:rsidRPr="00F5503C" w:rsidRDefault="00941CC6" w:rsidP="00941CC6">
      <w:pPr>
        <w:ind w:right="-619"/>
        <w:jc w:val="both"/>
        <w:rPr>
          <w:rFonts w:ascii="Arial" w:hAnsi="Arial" w:cs="Arial"/>
          <w:b/>
          <w:bCs/>
          <w:color w:val="002060"/>
        </w:rPr>
      </w:pPr>
      <w:r w:rsidRPr="00F5503C">
        <w:rPr>
          <w:noProof/>
          <w:color w:val="002060"/>
        </w:rPr>
        <w:drawing>
          <wp:anchor distT="0" distB="0" distL="114300" distR="114300" simplePos="0" relativeHeight="251668992" behindDoc="1" locked="0" layoutInCell="1" allowOverlap="1" wp14:anchorId="209EBC13" wp14:editId="04A1EB0A">
            <wp:simplePos x="0" y="0"/>
            <wp:positionH relativeFrom="column">
              <wp:posOffset>-598805</wp:posOffset>
            </wp:positionH>
            <wp:positionV relativeFrom="paragraph">
              <wp:posOffset>385445</wp:posOffset>
            </wp:positionV>
            <wp:extent cx="6943725" cy="2257425"/>
            <wp:effectExtent l="0" t="0" r="0" b="0"/>
            <wp:wrapNone/>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r w:rsidRPr="00F5503C">
        <w:rPr>
          <w:rFonts w:ascii="Arial" w:hAnsi="Arial" w:cs="Arial"/>
          <w:color w:val="002060"/>
        </w:rPr>
        <w:t>This post constitutes a 10 session post</w:t>
      </w:r>
      <w:r>
        <w:rPr>
          <w:rFonts w:ascii="Arial" w:hAnsi="Arial" w:cs="Arial"/>
          <w:color w:val="002060"/>
        </w:rPr>
        <w:t xml:space="preserve"> and provides additional consultant sessions to support acute in-patient activity   generated by seasonal winter activity.  </w:t>
      </w:r>
      <w:r w:rsidRPr="00F5503C">
        <w:rPr>
          <w:rFonts w:ascii="Arial" w:hAnsi="Arial" w:cs="Arial"/>
          <w:color w:val="002060"/>
        </w:rPr>
        <w:t>One core SPA session is allocated for appraisal, job planning and professional development</w:t>
      </w:r>
      <w:r>
        <w:rPr>
          <w:rFonts w:ascii="Arial" w:hAnsi="Arial" w:cs="Arial"/>
          <w:color w:val="002060"/>
        </w:rPr>
        <w:t xml:space="preserve">. </w:t>
      </w:r>
      <w:r w:rsidRPr="00F5503C">
        <w:rPr>
          <w:rFonts w:ascii="Arial" w:hAnsi="Arial" w:cs="Arial"/>
          <w:color w:val="002060"/>
        </w:rPr>
        <w:t>The final job plan</w:t>
      </w:r>
      <w:r>
        <w:rPr>
          <w:rFonts w:ascii="Arial" w:hAnsi="Arial" w:cs="Arial"/>
          <w:color w:val="002060"/>
        </w:rPr>
        <w:t xml:space="preserve">/timetable </w:t>
      </w:r>
      <w:r w:rsidRPr="00F5503C">
        <w:rPr>
          <w:rFonts w:ascii="Arial" w:hAnsi="Arial" w:cs="Arial"/>
          <w:color w:val="002060"/>
        </w:rPr>
        <w:t xml:space="preserve">will be agreed at or shortly after interview by agreement with the Clinical Director, General Manager and successful candidate reflecting the needs of the service. </w:t>
      </w:r>
    </w:p>
    <w:p w14:paraId="4DD990C7" w14:textId="77777777" w:rsidR="00941CC6" w:rsidRPr="00F5503C" w:rsidRDefault="00941CC6" w:rsidP="00941CC6">
      <w:pPr>
        <w:ind w:left="-709" w:right="-760"/>
        <w:jc w:val="both"/>
        <w:rPr>
          <w:rFonts w:ascii="Arial" w:hAnsi="Arial" w:cs="Arial"/>
          <w:color w:val="002060"/>
        </w:rPr>
      </w:pPr>
    </w:p>
    <w:p w14:paraId="2E93FBE9" w14:textId="77777777" w:rsidR="00941CC6" w:rsidRPr="00F5503C" w:rsidRDefault="00941CC6" w:rsidP="00941CC6">
      <w:pPr>
        <w:ind w:right="-760"/>
        <w:jc w:val="both"/>
        <w:rPr>
          <w:rFonts w:ascii="Arial" w:hAnsi="Arial" w:cs="Arial"/>
          <w:color w:val="002060"/>
        </w:rPr>
      </w:pPr>
      <w:r w:rsidRPr="00F5503C">
        <w:rPr>
          <w:rFonts w:ascii="Arial" w:hAnsi="Arial" w:cs="Arial"/>
          <w:color w:val="002060"/>
        </w:rPr>
        <w:t>The successful candidate will be expected to provide a full range of consultant services as agreed with senior management and colleagues including in-patient management of patients admitted to the wards. The appointee will contribute to acute medical receiving, the consultant on-call rota, and downstream ward cover including weekends and in the provision of additional   seasonal in-patient capacity. The pattern and frequency of these duties will be finalised following appointment to the post.</w:t>
      </w:r>
    </w:p>
    <w:p w14:paraId="7E33E4CB" w14:textId="77777777" w:rsidR="00941CC6" w:rsidRPr="00F5503C" w:rsidRDefault="00941CC6" w:rsidP="00941CC6">
      <w:pPr>
        <w:ind w:left="-709" w:right="-1056"/>
        <w:jc w:val="both"/>
        <w:rPr>
          <w:rFonts w:ascii="Arial" w:hAnsi="Arial" w:cs="Arial"/>
          <w:color w:val="002060"/>
        </w:rPr>
      </w:pPr>
    </w:p>
    <w:p w14:paraId="27DD4712" w14:textId="77777777" w:rsidR="00941CC6" w:rsidRPr="00F5503C" w:rsidRDefault="00941CC6" w:rsidP="00941CC6">
      <w:pPr>
        <w:kinsoku w:val="0"/>
        <w:overflowPunct w:val="0"/>
        <w:jc w:val="both"/>
        <w:rPr>
          <w:rFonts w:ascii="Arial" w:hAnsi="Arial" w:cs="Arial"/>
          <w:bCs/>
          <w:color w:val="002060"/>
          <w:u w:val="single"/>
        </w:rPr>
      </w:pPr>
    </w:p>
    <w:p w14:paraId="6EFC32CF" w14:textId="77777777" w:rsidR="00941CC6" w:rsidRPr="00F5503C" w:rsidRDefault="00941CC6" w:rsidP="00941CC6">
      <w:pPr>
        <w:ind w:right="-477"/>
        <w:jc w:val="both"/>
        <w:rPr>
          <w:rFonts w:ascii="Arial" w:hAnsi="Arial" w:cs="Arial"/>
          <w:bCs/>
          <w:color w:val="002060"/>
        </w:rPr>
      </w:pPr>
      <w:r w:rsidRPr="00F5503C">
        <w:rPr>
          <w:rFonts w:ascii="Arial" w:hAnsi="Arial" w:cs="Arial"/>
          <w:bCs/>
          <w:color w:val="002060"/>
        </w:rPr>
        <w:t>A clinical and educational mentor will be designated and non-clinical activities based around the successful applicant’s particular skill-set and service requirements will be agreed and appropriate time allocated within the job plan.</w:t>
      </w:r>
    </w:p>
    <w:p w14:paraId="5C363505" w14:textId="77777777" w:rsidR="00941CC6" w:rsidRPr="00F5503C" w:rsidRDefault="00941CC6" w:rsidP="00941CC6">
      <w:pPr>
        <w:pStyle w:val="Normal1"/>
        <w:spacing w:before="240"/>
        <w:jc w:val="both"/>
        <w:rPr>
          <w:rFonts w:ascii="Arial" w:hAnsi="Arial" w:cs="Arial"/>
          <w:color w:val="002060"/>
        </w:rPr>
      </w:pPr>
    </w:p>
    <w:p w14:paraId="269CEA8B" w14:textId="77777777" w:rsidR="00941CC6" w:rsidRPr="00F5503C" w:rsidRDefault="00941CC6" w:rsidP="00941CC6">
      <w:pPr>
        <w:jc w:val="both"/>
        <w:rPr>
          <w:rFonts w:ascii="Arial" w:hAnsi="Arial" w:cs="Arial"/>
          <w:color w:val="002060"/>
        </w:rPr>
      </w:pPr>
    </w:p>
    <w:p w14:paraId="6CDE9549" w14:textId="77777777" w:rsidR="00941CC6" w:rsidRPr="00F5503C" w:rsidRDefault="00941CC6" w:rsidP="00941CC6">
      <w:pPr>
        <w:jc w:val="both"/>
        <w:rPr>
          <w:rFonts w:ascii="Arial" w:hAnsi="Arial" w:cs="Arial"/>
          <w:color w:val="002060"/>
        </w:rPr>
      </w:pPr>
      <w:r w:rsidRPr="00F5503C">
        <w:rPr>
          <w:rFonts w:ascii="Arial" w:hAnsi="Arial" w:cs="Arial"/>
          <w:color w:val="002060"/>
        </w:rPr>
        <w:t>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w:t>
      </w:r>
      <w:r>
        <w:rPr>
          <w:rFonts w:ascii="Arial" w:hAnsi="Arial" w:cs="Arial"/>
          <w:color w:val="002060"/>
        </w:rPr>
        <w:t xml:space="preserve"> and General Manager</w:t>
      </w:r>
      <w:r w:rsidRPr="00F5503C">
        <w:rPr>
          <w:rFonts w:ascii="Arial" w:hAnsi="Arial" w:cs="Arial"/>
          <w:color w:val="002060"/>
        </w:rPr>
        <w:t xml:space="preserve">.  </w:t>
      </w:r>
    </w:p>
    <w:p w14:paraId="3211F39A" w14:textId="77777777" w:rsidR="00941CC6" w:rsidRPr="00F5503C" w:rsidRDefault="00941CC6" w:rsidP="00941CC6">
      <w:pPr>
        <w:jc w:val="both"/>
        <w:rPr>
          <w:rFonts w:ascii="Arial" w:hAnsi="Arial" w:cs="Arial"/>
          <w:b/>
          <w:i/>
          <w:color w:val="002060"/>
        </w:rPr>
      </w:pPr>
    </w:p>
    <w:p w14:paraId="75BB2BF1" w14:textId="77777777" w:rsidR="00941CC6" w:rsidRPr="00F5503C" w:rsidRDefault="00941CC6" w:rsidP="00941CC6">
      <w:pPr>
        <w:rPr>
          <w:rFonts w:ascii="Arial" w:hAnsi="Arial" w:cs="Arial"/>
          <w:b/>
          <w:color w:val="002060"/>
        </w:rPr>
      </w:pPr>
      <w:r w:rsidRPr="00F5503C">
        <w:rPr>
          <w:rFonts w:ascii="Arial" w:hAnsi="Arial" w:cs="Arial"/>
          <w:b/>
          <w:color w:val="002060"/>
        </w:rPr>
        <w:t>Non Clinical Work</w:t>
      </w:r>
    </w:p>
    <w:p w14:paraId="2891A3F4" w14:textId="77777777" w:rsidR="00941CC6" w:rsidRPr="00F5503C" w:rsidRDefault="00941CC6" w:rsidP="00941CC6">
      <w:pPr>
        <w:rPr>
          <w:b/>
          <w:color w:val="002060"/>
        </w:rPr>
      </w:pPr>
    </w:p>
    <w:p w14:paraId="764B9497" w14:textId="77777777" w:rsidR="00941CC6" w:rsidRPr="00F5503C" w:rsidRDefault="00941CC6" w:rsidP="00941CC6">
      <w:pPr>
        <w:jc w:val="both"/>
        <w:rPr>
          <w:rFonts w:ascii="Arial" w:hAnsi="Arial" w:cs="Arial"/>
          <w:color w:val="002060"/>
        </w:rPr>
      </w:pPr>
      <w:r w:rsidRPr="00F5503C">
        <w:rPr>
          <w:rFonts w:ascii="Arial" w:hAnsi="Arial" w:cs="Arial"/>
          <w:color w:val="002060"/>
        </w:rPr>
        <w:t>The Consultant will undertake the administrative duties associated with the care of his/her patients and smooth running of the department. In addition, the non-clinical workload of the department is divided between all consultants under the direction of the Clinical Director. This includes liaison with specialty colleagues, education, participation in committees and working groups convened by the North sector, Health Board and other bodies as required - within the provision of the time available within the individual consultant’s job plan.</w:t>
      </w:r>
    </w:p>
    <w:p w14:paraId="63B4CFEF" w14:textId="77777777" w:rsidR="00941CC6" w:rsidRDefault="00941CC6" w:rsidP="00941CC6">
      <w:pPr>
        <w:kinsoku w:val="0"/>
        <w:overflowPunct w:val="0"/>
        <w:jc w:val="both"/>
        <w:rPr>
          <w:rFonts w:ascii="Arial" w:hAnsi="Arial" w:cs="Arial"/>
          <w:color w:val="002060"/>
        </w:rPr>
      </w:pPr>
    </w:p>
    <w:p w14:paraId="7F67C16D" w14:textId="7D5C945E" w:rsidR="00941CC6" w:rsidRPr="00F5503C" w:rsidRDefault="00941CC6" w:rsidP="00941CC6">
      <w:pPr>
        <w:kinsoku w:val="0"/>
        <w:overflowPunct w:val="0"/>
        <w:jc w:val="both"/>
        <w:rPr>
          <w:rFonts w:ascii="Arial" w:hAnsi="Arial" w:cs="Arial"/>
          <w:b/>
          <w:bCs/>
          <w:color w:val="002060"/>
        </w:rPr>
      </w:pPr>
      <w:r w:rsidRPr="00F5503C">
        <w:rPr>
          <w:rFonts w:ascii="Arial" w:hAnsi="Arial" w:cs="Arial"/>
          <w:b/>
          <w:bCs/>
          <w:color w:val="002060"/>
        </w:rPr>
        <w:t>Person Specification</w:t>
      </w:r>
    </w:p>
    <w:p w14:paraId="4A747460" w14:textId="77777777" w:rsidR="00941CC6" w:rsidRPr="00F5503C" w:rsidRDefault="00941CC6" w:rsidP="00941CC6">
      <w:pPr>
        <w:kinsoku w:val="0"/>
        <w:overflowPunct w:val="0"/>
        <w:jc w:val="both"/>
        <w:rPr>
          <w:rFonts w:ascii="Arial" w:hAnsi="Arial" w:cs="Arial"/>
          <w:bCs/>
          <w:color w:val="002060"/>
          <w:sz w:val="32"/>
        </w:rPr>
      </w:pPr>
    </w:p>
    <w:tbl>
      <w:tblPr>
        <w:tblW w:w="99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4394"/>
        <w:gridCol w:w="3166"/>
      </w:tblGrid>
      <w:tr w:rsidR="00941CC6" w14:paraId="77BDB888" w14:textId="77777777" w:rsidTr="00E76865">
        <w:trPr>
          <w:trHeight w:val="848"/>
        </w:trPr>
        <w:tc>
          <w:tcPr>
            <w:tcW w:w="9960" w:type="dxa"/>
            <w:gridSpan w:val="3"/>
            <w:shd w:val="clear" w:color="auto" w:fill="C6D9F1"/>
            <w:vAlign w:val="center"/>
          </w:tcPr>
          <w:p w14:paraId="70A1516D" w14:textId="77777777" w:rsidR="00941CC6" w:rsidRPr="00C9454E" w:rsidRDefault="00941CC6" w:rsidP="00E76865">
            <w:pPr>
              <w:widowControl w:val="0"/>
              <w:rPr>
                <w:rFonts w:ascii="Arial" w:hAnsi="Arial" w:cs="Arial"/>
                <w:b/>
                <w:color w:val="1F497D"/>
                <w:sz w:val="40"/>
                <w:szCs w:val="40"/>
              </w:rPr>
            </w:pPr>
            <w:r w:rsidRPr="00C9454E">
              <w:rPr>
                <w:rFonts w:ascii="Arial" w:hAnsi="Arial" w:cs="Arial"/>
                <w:b/>
                <w:color w:val="1F497D"/>
                <w:sz w:val="40"/>
                <w:szCs w:val="40"/>
              </w:rPr>
              <w:t>PERSON SPECIFICATION</w:t>
            </w:r>
          </w:p>
        </w:tc>
      </w:tr>
      <w:tr w:rsidR="00941CC6" w14:paraId="1C8C9BCF" w14:textId="77777777" w:rsidTr="00E76865">
        <w:tblPrEx>
          <w:tblLook w:val="0000" w:firstRow="0" w:lastRow="0" w:firstColumn="0" w:lastColumn="0" w:noHBand="0" w:noVBand="0"/>
        </w:tblPrEx>
        <w:trPr>
          <w:trHeight w:val="532"/>
        </w:trPr>
        <w:tc>
          <w:tcPr>
            <w:tcW w:w="2400" w:type="dxa"/>
            <w:shd w:val="clear" w:color="auto" w:fill="DBE5F1"/>
            <w:vAlign w:val="center"/>
          </w:tcPr>
          <w:p w14:paraId="445D3603" w14:textId="77777777" w:rsidR="00941CC6" w:rsidRPr="005377FC" w:rsidRDefault="00941CC6" w:rsidP="00E76865">
            <w:pPr>
              <w:widowControl w:val="0"/>
              <w:jc w:val="both"/>
              <w:rPr>
                <w:rFonts w:ascii="Arial" w:hAnsi="Arial" w:cs="Arial"/>
                <w:b/>
              </w:rPr>
            </w:pPr>
            <w:r>
              <w:rPr>
                <w:rFonts w:ascii="Arial" w:hAnsi="Arial" w:cs="Arial"/>
                <w:b/>
              </w:rPr>
              <w:t>CATEGORY</w:t>
            </w:r>
          </w:p>
        </w:tc>
        <w:tc>
          <w:tcPr>
            <w:tcW w:w="4394" w:type="dxa"/>
            <w:shd w:val="clear" w:color="auto" w:fill="DBE5F1"/>
            <w:vAlign w:val="center"/>
          </w:tcPr>
          <w:p w14:paraId="46EDEDA0" w14:textId="77777777" w:rsidR="00941CC6" w:rsidRPr="0094348B" w:rsidRDefault="00941CC6" w:rsidP="00E76865">
            <w:pPr>
              <w:pStyle w:val="BodyText2"/>
              <w:rPr>
                <w:rFonts w:ascii="Arial" w:hAnsi="Arial" w:cs="Arial"/>
                <w:b/>
                <w:szCs w:val="24"/>
              </w:rPr>
            </w:pPr>
            <w:r w:rsidRPr="0094348B">
              <w:rPr>
                <w:rFonts w:ascii="Arial" w:hAnsi="Arial" w:cs="Arial"/>
                <w:b/>
                <w:szCs w:val="24"/>
              </w:rPr>
              <w:t>ESSENTIAL</w:t>
            </w:r>
          </w:p>
        </w:tc>
        <w:tc>
          <w:tcPr>
            <w:tcW w:w="3166" w:type="dxa"/>
            <w:shd w:val="clear" w:color="auto" w:fill="DBE5F1"/>
            <w:vAlign w:val="center"/>
          </w:tcPr>
          <w:p w14:paraId="30C1F97A" w14:textId="77777777" w:rsidR="00941CC6" w:rsidRPr="0094348B" w:rsidRDefault="00941CC6" w:rsidP="00E76865">
            <w:pPr>
              <w:pStyle w:val="Heading9"/>
              <w:spacing w:before="0"/>
              <w:jc w:val="both"/>
              <w:rPr>
                <w:b/>
                <w:bCs/>
                <w:sz w:val="24"/>
                <w:szCs w:val="24"/>
              </w:rPr>
            </w:pPr>
            <w:r w:rsidRPr="0094348B">
              <w:rPr>
                <w:b/>
                <w:bCs/>
                <w:sz w:val="24"/>
                <w:szCs w:val="24"/>
              </w:rPr>
              <w:t>DESIRABLE</w:t>
            </w:r>
          </w:p>
        </w:tc>
      </w:tr>
      <w:tr w:rsidR="00941CC6" w14:paraId="3A283629" w14:textId="77777777" w:rsidTr="00E76865">
        <w:tblPrEx>
          <w:tblLook w:val="0000" w:firstRow="0" w:lastRow="0" w:firstColumn="0" w:lastColumn="0" w:noHBand="0" w:noVBand="0"/>
        </w:tblPrEx>
        <w:tc>
          <w:tcPr>
            <w:tcW w:w="2400" w:type="dxa"/>
            <w:shd w:val="clear" w:color="auto" w:fill="DBE5F1"/>
          </w:tcPr>
          <w:p w14:paraId="5942098C" w14:textId="77777777" w:rsidR="00941CC6" w:rsidRPr="0094348B" w:rsidRDefault="00941CC6" w:rsidP="00E76865">
            <w:pPr>
              <w:pStyle w:val="Heading1"/>
            </w:pPr>
            <w:r w:rsidRPr="0094348B">
              <w:t xml:space="preserve">Qualifications </w:t>
            </w:r>
          </w:p>
        </w:tc>
        <w:tc>
          <w:tcPr>
            <w:tcW w:w="4394" w:type="dxa"/>
            <w:shd w:val="clear" w:color="auto" w:fill="FFFFFF"/>
          </w:tcPr>
          <w:p w14:paraId="0A4AA3FA" w14:textId="1E37B293" w:rsidR="00941CC6" w:rsidRPr="00941CC6" w:rsidRDefault="00941CC6" w:rsidP="00941CC6">
            <w:pPr>
              <w:numPr>
                <w:ilvl w:val="0"/>
                <w:numId w:val="36"/>
              </w:numPr>
              <w:rPr>
                <w:rFonts w:ascii="Arial" w:hAnsi="Arial" w:cs="Arial"/>
              </w:rPr>
            </w:pPr>
            <w:r w:rsidRPr="00AE7F4C">
              <w:rPr>
                <w:rFonts w:ascii="Arial" w:hAnsi="Arial" w:cs="Arial"/>
              </w:rPr>
              <w:t>Full registration with GMC</w:t>
            </w:r>
            <w:r>
              <w:rPr>
                <w:rFonts w:ascii="Arial" w:hAnsi="Arial" w:cs="Arial"/>
              </w:rPr>
              <w:t xml:space="preserve"> and a licence to practise</w:t>
            </w:r>
          </w:p>
        </w:tc>
        <w:tc>
          <w:tcPr>
            <w:tcW w:w="3166" w:type="dxa"/>
            <w:shd w:val="clear" w:color="auto" w:fill="FFFFFF"/>
          </w:tcPr>
          <w:p w14:paraId="6C815F0C" w14:textId="77777777" w:rsidR="00941CC6" w:rsidRPr="001C1E8A" w:rsidRDefault="00941CC6" w:rsidP="00E76865">
            <w:pPr>
              <w:rPr>
                <w:rFonts w:ascii="Arial" w:hAnsi="Arial" w:cs="Arial"/>
              </w:rPr>
            </w:pPr>
          </w:p>
        </w:tc>
      </w:tr>
      <w:tr w:rsidR="00941CC6" w14:paraId="4643012C" w14:textId="77777777" w:rsidTr="00E76865">
        <w:tblPrEx>
          <w:tblLook w:val="0000" w:firstRow="0" w:lastRow="0" w:firstColumn="0" w:lastColumn="0" w:noHBand="0" w:noVBand="0"/>
        </w:tblPrEx>
        <w:tc>
          <w:tcPr>
            <w:tcW w:w="2400" w:type="dxa"/>
            <w:shd w:val="clear" w:color="auto" w:fill="DBE5F1"/>
          </w:tcPr>
          <w:p w14:paraId="33B2A4D4" w14:textId="77777777" w:rsidR="00941CC6" w:rsidRPr="00F74784" w:rsidRDefault="00941CC6" w:rsidP="00E76865">
            <w:pPr>
              <w:widowControl w:val="0"/>
              <w:rPr>
                <w:rFonts w:ascii="Arial" w:hAnsi="Arial" w:cs="Arial"/>
                <w:b/>
              </w:rPr>
            </w:pPr>
            <w:r>
              <w:rPr>
                <w:rFonts w:ascii="Arial" w:hAnsi="Arial" w:cs="Arial"/>
                <w:b/>
              </w:rPr>
              <w:t xml:space="preserve"> Training</w:t>
            </w:r>
          </w:p>
        </w:tc>
        <w:tc>
          <w:tcPr>
            <w:tcW w:w="4394" w:type="dxa"/>
            <w:shd w:val="clear" w:color="auto" w:fill="FFFFFF"/>
          </w:tcPr>
          <w:p w14:paraId="676A1C00" w14:textId="77777777" w:rsidR="00941CC6" w:rsidRPr="00F74784" w:rsidRDefault="00941CC6" w:rsidP="00941CC6">
            <w:pPr>
              <w:widowControl w:val="0"/>
              <w:numPr>
                <w:ilvl w:val="0"/>
                <w:numId w:val="37"/>
              </w:numPr>
              <w:rPr>
                <w:rFonts w:ascii="Arial" w:hAnsi="Arial" w:cs="Arial"/>
              </w:rPr>
            </w:pPr>
            <w:r>
              <w:rPr>
                <w:rFonts w:ascii="Arial" w:hAnsi="Arial" w:cs="Arial"/>
              </w:rPr>
              <w:t>Demonstrates competence in the management of full range of Medical Specialty medical services/conditions.</w:t>
            </w:r>
          </w:p>
        </w:tc>
        <w:tc>
          <w:tcPr>
            <w:tcW w:w="3166" w:type="dxa"/>
            <w:shd w:val="clear" w:color="auto" w:fill="FFFFFF"/>
          </w:tcPr>
          <w:p w14:paraId="6CC114AC" w14:textId="77777777" w:rsidR="00941CC6" w:rsidRPr="00F74784" w:rsidRDefault="00941CC6" w:rsidP="00E76865">
            <w:pPr>
              <w:widowControl w:val="0"/>
              <w:rPr>
                <w:rFonts w:ascii="Arial" w:hAnsi="Arial" w:cs="Arial"/>
              </w:rPr>
            </w:pPr>
          </w:p>
        </w:tc>
      </w:tr>
      <w:tr w:rsidR="00941CC6" w14:paraId="1F3CCA7D" w14:textId="77777777" w:rsidTr="00E76865">
        <w:tblPrEx>
          <w:tblLook w:val="0000" w:firstRow="0" w:lastRow="0" w:firstColumn="0" w:lastColumn="0" w:noHBand="0" w:noVBand="0"/>
        </w:tblPrEx>
        <w:trPr>
          <w:trHeight w:val="1197"/>
        </w:trPr>
        <w:tc>
          <w:tcPr>
            <w:tcW w:w="2400" w:type="dxa"/>
            <w:shd w:val="clear" w:color="auto" w:fill="DBE5F1"/>
          </w:tcPr>
          <w:p w14:paraId="1390C409" w14:textId="77777777" w:rsidR="00941CC6" w:rsidRPr="00F74784" w:rsidRDefault="00941CC6" w:rsidP="00E76865">
            <w:pPr>
              <w:pStyle w:val="Heading1"/>
              <w:ind w:left="360"/>
              <w:rPr>
                <w:b w:val="0"/>
              </w:rPr>
            </w:pPr>
            <w:r>
              <w:t>Clinical Specialty Skills</w:t>
            </w:r>
          </w:p>
        </w:tc>
        <w:tc>
          <w:tcPr>
            <w:tcW w:w="4394" w:type="dxa"/>
            <w:shd w:val="clear" w:color="auto" w:fill="FFFFFF"/>
          </w:tcPr>
          <w:p w14:paraId="33BD58F3" w14:textId="77777777" w:rsidR="00941CC6" w:rsidRDefault="00941CC6" w:rsidP="00941CC6">
            <w:pPr>
              <w:widowControl w:val="0"/>
              <w:numPr>
                <w:ilvl w:val="0"/>
                <w:numId w:val="37"/>
              </w:numPr>
              <w:rPr>
                <w:rFonts w:ascii="Arial" w:hAnsi="Arial" w:cs="Arial"/>
              </w:rPr>
            </w:pPr>
            <w:r>
              <w:rPr>
                <w:rFonts w:ascii="Arial" w:hAnsi="Arial" w:cs="Arial"/>
              </w:rPr>
              <w:t>Evidence of working in a multi-disciplinary team</w:t>
            </w:r>
          </w:p>
          <w:p w14:paraId="020A274A" w14:textId="77777777" w:rsidR="00941CC6" w:rsidRDefault="00941CC6" w:rsidP="00941CC6">
            <w:pPr>
              <w:widowControl w:val="0"/>
              <w:numPr>
                <w:ilvl w:val="0"/>
                <w:numId w:val="37"/>
              </w:numPr>
              <w:rPr>
                <w:rFonts w:ascii="Arial" w:hAnsi="Arial" w:cs="Arial"/>
              </w:rPr>
            </w:pPr>
            <w:r>
              <w:rPr>
                <w:rFonts w:ascii="Arial" w:hAnsi="Arial" w:cs="Arial"/>
              </w:rPr>
              <w:t>Ability to organise and prioritise complex demands</w:t>
            </w:r>
          </w:p>
          <w:p w14:paraId="5A920086" w14:textId="77777777" w:rsidR="00941CC6" w:rsidRDefault="00941CC6" w:rsidP="00941CC6">
            <w:pPr>
              <w:widowControl w:val="0"/>
              <w:numPr>
                <w:ilvl w:val="0"/>
                <w:numId w:val="37"/>
              </w:numPr>
              <w:rPr>
                <w:rFonts w:ascii="Arial" w:hAnsi="Arial" w:cs="Arial"/>
              </w:rPr>
            </w:pPr>
            <w:r>
              <w:rPr>
                <w:rFonts w:ascii="Arial" w:hAnsi="Arial" w:cs="Arial"/>
              </w:rPr>
              <w:t>Evidence of teaching and training skills for junior doctors</w:t>
            </w:r>
          </w:p>
          <w:p w14:paraId="2E2AE8D4" w14:textId="77777777" w:rsidR="00941CC6" w:rsidRDefault="00941CC6" w:rsidP="00941CC6">
            <w:pPr>
              <w:widowControl w:val="0"/>
              <w:numPr>
                <w:ilvl w:val="0"/>
                <w:numId w:val="37"/>
              </w:numPr>
              <w:rPr>
                <w:rFonts w:ascii="Arial" w:hAnsi="Arial" w:cs="Arial"/>
              </w:rPr>
            </w:pPr>
            <w:r>
              <w:rPr>
                <w:rFonts w:ascii="Arial" w:hAnsi="Arial" w:cs="Arial"/>
              </w:rPr>
              <w:t>Effective communication skills</w:t>
            </w:r>
          </w:p>
          <w:p w14:paraId="3F32D6D2" w14:textId="77777777" w:rsidR="00941CC6" w:rsidRPr="00F74784" w:rsidRDefault="00941CC6" w:rsidP="00941CC6">
            <w:pPr>
              <w:widowControl w:val="0"/>
              <w:numPr>
                <w:ilvl w:val="0"/>
                <w:numId w:val="37"/>
              </w:numPr>
              <w:rPr>
                <w:rFonts w:ascii="Arial" w:hAnsi="Arial" w:cs="Arial"/>
              </w:rPr>
            </w:pPr>
            <w:r>
              <w:rPr>
                <w:rFonts w:ascii="Arial" w:hAnsi="Arial" w:cs="Arial"/>
              </w:rPr>
              <w:t>Ability to adapt and respond to changing circumstances</w:t>
            </w:r>
          </w:p>
        </w:tc>
        <w:tc>
          <w:tcPr>
            <w:tcW w:w="3166" w:type="dxa"/>
            <w:shd w:val="clear" w:color="auto" w:fill="FFFFFF"/>
          </w:tcPr>
          <w:p w14:paraId="1C680CE9" w14:textId="77777777" w:rsidR="00941CC6" w:rsidRDefault="00941CC6" w:rsidP="00941CC6">
            <w:pPr>
              <w:widowControl w:val="0"/>
              <w:numPr>
                <w:ilvl w:val="0"/>
                <w:numId w:val="37"/>
              </w:numPr>
              <w:rPr>
                <w:rFonts w:ascii="Arial" w:hAnsi="Arial" w:cs="Arial"/>
              </w:rPr>
            </w:pPr>
            <w:r>
              <w:rPr>
                <w:rFonts w:ascii="Arial" w:hAnsi="Arial" w:cs="Arial"/>
              </w:rPr>
              <w:t>Management training</w:t>
            </w:r>
          </w:p>
          <w:p w14:paraId="5EC3F938" w14:textId="77777777" w:rsidR="00941CC6" w:rsidRPr="00F74784" w:rsidRDefault="00941CC6" w:rsidP="00941CC6">
            <w:pPr>
              <w:widowControl w:val="0"/>
              <w:numPr>
                <w:ilvl w:val="0"/>
                <w:numId w:val="37"/>
              </w:numPr>
              <w:rPr>
                <w:rFonts w:ascii="Arial" w:hAnsi="Arial" w:cs="Arial"/>
              </w:rPr>
            </w:pPr>
            <w:r>
              <w:rPr>
                <w:rFonts w:ascii="Arial" w:hAnsi="Arial" w:cs="Arial"/>
              </w:rPr>
              <w:t>IT skills</w:t>
            </w:r>
          </w:p>
        </w:tc>
      </w:tr>
      <w:tr w:rsidR="00941CC6" w14:paraId="2A412BF2" w14:textId="77777777" w:rsidTr="00E76865">
        <w:tblPrEx>
          <w:tblLook w:val="0000" w:firstRow="0" w:lastRow="0" w:firstColumn="0" w:lastColumn="0" w:noHBand="0" w:noVBand="0"/>
        </w:tblPrEx>
        <w:trPr>
          <w:trHeight w:val="2250"/>
        </w:trPr>
        <w:tc>
          <w:tcPr>
            <w:tcW w:w="2400" w:type="dxa"/>
            <w:shd w:val="clear" w:color="auto" w:fill="DBE5F1"/>
          </w:tcPr>
          <w:p w14:paraId="7A30DB86" w14:textId="77777777" w:rsidR="00941CC6" w:rsidRPr="00A20325" w:rsidRDefault="00941CC6" w:rsidP="00E76865">
            <w:pPr>
              <w:widowControl w:val="0"/>
              <w:rPr>
                <w:rFonts w:ascii="Arial" w:hAnsi="Arial" w:cs="Arial"/>
                <w:b/>
              </w:rPr>
            </w:pPr>
            <w:r w:rsidRPr="00A20325">
              <w:rPr>
                <w:rFonts w:ascii="Arial" w:hAnsi="Arial" w:cs="Arial"/>
                <w:b/>
              </w:rPr>
              <w:t xml:space="preserve"> EXPERIENCE</w:t>
            </w:r>
          </w:p>
          <w:p w14:paraId="3F6293C6" w14:textId="77777777" w:rsidR="00941CC6" w:rsidRPr="00A20325" w:rsidRDefault="00941CC6" w:rsidP="00E76865">
            <w:pPr>
              <w:widowControl w:val="0"/>
              <w:rPr>
                <w:rFonts w:ascii="Arial" w:hAnsi="Arial" w:cs="Arial"/>
                <w:b/>
              </w:rPr>
            </w:pPr>
          </w:p>
          <w:p w14:paraId="43CBE294" w14:textId="77777777" w:rsidR="00941CC6" w:rsidRPr="005377FC" w:rsidRDefault="00941CC6" w:rsidP="00941CC6">
            <w:pPr>
              <w:widowControl w:val="0"/>
              <w:numPr>
                <w:ilvl w:val="0"/>
                <w:numId w:val="35"/>
              </w:numPr>
              <w:rPr>
                <w:rFonts w:ascii="Arial" w:hAnsi="Arial" w:cs="Arial"/>
                <w:b/>
              </w:rPr>
            </w:pPr>
            <w:r w:rsidRPr="005377FC">
              <w:rPr>
                <w:rFonts w:ascii="Arial" w:hAnsi="Arial" w:cs="Arial"/>
                <w:b/>
              </w:rPr>
              <w:t>Clinical</w:t>
            </w:r>
          </w:p>
          <w:p w14:paraId="7FC024D3" w14:textId="77777777" w:rsidR="00941CC6" w:rsidRPr="00A20325" w:rsidRDefault="00941CC6" w:rsidP="00E76865">
            <w:pPr>
              <w:widowControl w:val="0"/>
              <w:rPr>
                <w:rFonts w:ascii="Arial" w:hAnsi="Arial" w:cs="Arial"/>
                <w:b/>
              </w:rPr>
            </w:pPr>
          </w:p>
          <w:p w14:paraId="0951A36C" w14:textId="77777777" w:rsidR="00941CC6" w:rsidRDefault="00941CC6" w:rsidP="00E76865">
            <w:pPr>
              <w:widowControl w:val="0"/>
              <w:rPr>
                <w:rFonts w:ascii="Arial" w:hAnsi="Arial" w:cs="Arial"/>
                <w:b/>
              </w:rPr>
            </w:pPr>
          </w:p>
          <w:p w14:paraId="1BF727F3" w14:textId="77777777" w:rsidR="00941CC6" w:rsidRPr="00A20325" w:rsidRDefault="00941CC6" w:rsidP="00E76865">
            <w:pPr>
              <w:widowControl w:val="0"/>
              <w:rPr>
                <w:rFonts w:ascii="Arial" w:hAnsi="Arial" w:cs="Arial"/>
                <w:b/>
              </w:rPr>
            </w:pPr>
          </w:p>
          <w:p w14:paraId="73C45437" w14:textId="77777777" w:rsidR="00941CC6" w:rsidRPr="00F97C33" w:rsidRDefault="00941CC6" w:rsidP="00941CC6">
            <w:pPr>
              <w:widowControl w:val="0"/>
              <w:numPr>
                <w:ilvl w:val="0"/>
                <w:numId w:val="35"/>
              </w:numPr>
              <w:rPr>
                <w:rFonts w:ascii="Arial" w:hAnsi="Arial" w:cs="Arial"/>
                <w:b/>
              </w:rPr>
            </w:pPr>
            <w:r w:rsidRPr="005377FC">
              <w:rPr>
                <w:rFonts w:ascii="Arial" w:hAnsi="Arial" w:cs="Arial"/>
                <w:b/>
              </w:rPr>
              <w:t>Audit</w:t>
            </w:r>
          </w:p>
        </w:tc>
        <w:tc>
          <w:tcPr>
            <w:tcW w:w="4394" w:type="dxa"/>
            <w:shd w:val="clear" w:color="auto" w:fill="FFFFFF"/>
          </w:tcPr>
          <w:p w14:paraId="4DDFB1FF" w14:textId="77777777" w:rsidR="00941CC6" w:rsidRPr="00247B5A" w:rsidRDefault="00941CC6" w:rsidP="00941CC6">
            <w:pPr>
              <w:widowControl w:val="0"/>
              <w:numPr>
                <w:ilvl w:val="0"/>
                <w:numId w:val="38"/>
              </w:numPr>
              <w:rPr>
                <w:rFonts w:ascii="Arial" w:hAnsi="Arial" w:cs="Arial"/>
              </w:rPr>
            </w:pPr>
            <w:r w:rsidRPr="00247B5A">
              <w:rPr>
                <w:rFonts w:ascii="Arial" w:hAnsi="Arial" w:cs="Arial"/>
              </w:rPr>
              <w:t xml:space="preserve">Broad experience of </w:t>
            </w:r>
            <w:r>
              <w:rPr>
                <w:rFonts w:ascii="Arial" w:hAnsi="Arial" w:cs="Arial"/>
              </w:rPr>
              <w:t xml:space="preserve">Medical Specialty services </w:t>
            </w:r>
          </w:p>
          <w:p w14:paraId="19BC72C2" w14:textId="77777777" w:rsidR="00941CC6" w:rsidRDefault="00941CC6" w:rsidP="00E76865">
            <w:pPr>
              <w:widowControl w:val="0"/>
              <w:rPr>
                <w:rFonts w:ascii="Arial" w:hAnsi="Arial" w:cs="Arial"/>
              </w:rPr>
            </w:pPr>
          </w:p>
          <w:p w14:paraId="6D8B3E43" w14:textId="77777777" w:rsidR="00941CC6" w:rsidRDefault="00941CC6" w:rsidP="00E76865">
            <w:pPr>
              <w:widowControl w:val="0"/>
              <w:rPr>
                <w:rFonts w:ascii="Arial" w:hAnsi="Arial" w:cs="Arial"/>
              </w:rPr>
            </w:pPr>
          </w:p>
          <w:p w14:paraId="11E07C9D" w14:textId="77777777" w:rsidR="00941CC6" w:rsidRPr="00621ED7" w:rsidRDefault="00941CC6" w:rsidP="00941CC6">
            <w:pPr>
              <w:widowControl w:val="0"/>
              <w:numPr>
                <w:ilvl w:val="0"/>
                <w:numId w:val="38"/>
              </w:numPr>
              <w:rPr>
                <w:rFonts w:ascii="Arial" w:hAnsi="Arial" w:cs="Arial"/>
              </w:rPr>
            </w:pPr>
            <w:r w:rsidRPr="00621ED7">
              <w:rPr>
                <w:rFonts w:ascii="Arial" w:hAnsi="Arial" w:cs="Arial"/>
              </w:rPr>
              <w:t>Evidence of active involvement in relevant clinical audit/QI</w:t>
            </w:r>
          </w:p>
          <w:p w14:paraId="6C1958A4" w14:textId="77777777" w:rsidR="00941CC6" w:rsidRPr="00F97C33" w:rsidRDefault="00941CC6" w:rsidP="00E76865">
            <w:pPr>
              <w:widowControl w:val="0"/>
              <w:rPr>
                <w:rFonts w:ascii="Arial" w:hAnsi="Arial" w:cs="Arial"/>
              </w:rPr>
            </w:pPr>
          </w:p>
        </w:tc>
        <w:tc>
          <w:tcPr>
            <w:tcW w:w="3166" w:type="dxa"/>
            <w:shd w:val="clear" w:color="auto" w:fill="FFFFFF"/>
          </w:tcPr>
          <w:p w14:paraId="236A81F8" w14:textId="77777777" w:rsidR="00941CC6" w:rsidRDefault="00941CC6" w:rsidP="00941CC6">
            <w:pPr>
              <w:widowControl w:val="0"/>
              <w:numPr>
                <w:ilvl w:val="0"/>
                <w:numId w:val="38"/>
              </w:numPr>
              <w:rPr>
                <w:rFonts w:ascii="Arial" w:hAnsi="Arial" w:cs="Arial"/>
              </w:rPr>
            </w:pPr>
            <w:r>
              <w:rPr>
                <w:rFonts w:ascii="Arial" w:hAnsi="Arial" w:cs="Arial"/>
              </w:rPr>
              <w:t>Evidence of participation in relevant research</w:t>
            </w:r>
          </w:p>
          <w:p w14:paraId="4808BA45" w14:textId="77777777" w:rsidR="00941CC6" w:rsidRDefault="00941CC6" w:rsidP="00941CC6">
            <w:pPr>
              <w:widowControl w:val="0"/>
              <w:numPr>
                <w:ilvl w:val="0"/>
                <w:numId w:val="38"/>
              </w:numPr>
              <w:rPr>
                <w:rFonts w:ascii="Arial" w:hAnsi="Arial" w:cs="Arial"/>
              </w:rPr>
            </w:pPr>
            <w:r>
              <w:rPr>
                <w:rFonts w:ascii="Arial" w:hAnsi="Arial" w:cs="Arial"/>
              </w:rPr>
              <w:t>Evidence of research publications</w:t>
            </w:r>
          </w:p>
          <w:p w14:paraId="11DEC53B" w14:textId="77777777" w:rsidR="00941CC6" w:rsidRPr="00F97C33" w:rsidRDefault="00941CC6" w:rsidP="00941CC6">
            <w:pPr>
              <w:widowControl w:val="0"/>
              <w:numPr>
                <w:ilvl w:val="0"/>
                <w:numId w:val="38"/>
              </w:numPr>
              <w:rPr>
                <w:rFonts w:ascii="Arial" w:hAnsi="Arial" w:cs="Arial"/>
              </w:rPr>
            </w:pPr>
            <w:r>
              <w:rPr>
                <w:rFonts w:ascii="Arial" w:hAnsi="Arial" w:cs="Arial"/>
              </w:rPr>
              <w:t>Evidence of innovative service developments.</w:t>
            </w:r>
          </w:p>
        </w:tc>
      </w:tr>
      <w:tr w:rsidR="00941CC6" w14:paraId="6341A539" w14:textId="77777777" w:rsidTr="00E76865">
        <w:tblPrEx>
          <w:tblLook w:val="0000" w:firstRow="0" w:lastRow="0" w:firstColumn="0" w:lastColumn="0" w:noHBand="0" w:noVBand="0"/>
        </w:tblPrEx>
        <w:trPr>
          <w:trHeight w:val="2250"/>
        </w:trPr>
        <w:tc>
          <w:tcPr>
            <w:tcW w:w="2400" w:type="dxa"/>
            <w:shd w:val="clear" w:color="auto" w:fill="DBE5F1"/>
          </w:tcPr>
          <w:p w14:paraId="213FAFA5" w14:textId="77777777" w:rsidR="00941CC6" w:rsidRPr="00A20325" w:rsidRDefault="00941CC6" w:rsidP="00E76865">
            <w:pPr>
              <w:widowControl w:val="0"/>
              <w:rPr>
                <w:rFonts w:ascii="Arial" w:hAnsi="Arial" w:cs="Arial"/>
                <w:b/>
              </w:rPr>
            </w:pPr>
            <w:r>
              <w:rPr>
                <w:rFonts w:ascii="Arial" w:hAnsi="Arial" w:cs="Arial"/>
                <w:b/>
              </w:rPr>
              <w:t>Personal Skills</w:t>
            </w:r>
          </w:p>
        </w:tc>
        <w:tc>
          <w:tcPr>
            <w:tcW w:w="4394" w:type="dxa"/>
            <w:shd w:val="clear" w:color="auto" w:fill="FFFFFF"/>
          </w:tcPr>
          <w:p w14:paraId="2342006B" w14:textId="77777777" w:rsidR="00941CC6" w:rsidRDefault="00941CC6" w:rsidP="00941CC6">
            <w:pPr>
              <w:widowControl w:val="0"/>
              <w:numPr>
                <w:ilvl w:val="0"/>
                <w:numId w:val="38"/>
              </w:numPr>
              <w:rPr>
                <w:rFonts w:ascii="Arial" w:hAnsi="Arial" w:cs="Arial"/>
              </w:rPr>
            </w:pPr>
            <w:r>
              <w:rPr>
                <w:rFonts w:ascii="Arial" w:hAnsi="Arial" w:cs="Arial"/>
              </w:rPr>
              <w:t>Caring disposition</w:t>
            </w:r>
          </w:p>
          <w:p w14:paraId="3616DA8B" w14:textId="77777777" w:rsidR="00941CC6" w:rsidRDefault="00941CC6" w:rsidP="00941CC6">
            <w:pPr>
              <w:pStyle w:val="ListParagraph"/>
              <w:numPr>
                <w:ilvl w:val="0"/>
                <w:numId w:val="38"/>
              </w:numPr>
              <w:autoSpaceDE/>
              <w:autoSpaceDN/>
              <w:adjustRightInd/>
              <w:contextualSpacing/>
              <w:rPr>
                <w:rFonts w:cs="Arial"/>
              </w:rPr>
            </w:pPr>
            <w:r>
              <w:rPr>
                <w:rFonts w:cs="Arial"/>
              </w:rPr>
              <w:t>A</w:t>
            </w:r>
            <w:r w:rsidRPr="00923109">
              <w:rPr>
                <w:rFonts w:cs="Arial"/>
              </w:rPr>
              <w:t>bility to communicate and liaise effectively with patients and their relatives</w:t>
            </w:r>
          </w:p>
          <w:p w14:paraId="25CADFE3" w14:textId="77777777" w:rsidR="00941CC6" w:rsidRPr="00923109" w:rsidRDefault="00941CC6" w:rsidP="00941CC6">
            <w:pPr>
              <w:pStyle w:val="ListParagraph"/>
              <w:numPr>
                <w:ilvl w:val="0"/>
                <w:numId w:val="38"/>
              </w:numPr>
              <w:autoSpaceDE/>
              <w:autoSpaceDN/>
              <w:adjustRightInd/>
              <w:contextualSpacing/>
              <w:rPr>
                <w:rFonts w:cs="Arial"/>
              </w:rPr>
            </w:pPr>
            <w:r>
              <w:rPr>
                <w:rFonts w:cs="Arial"/>
              </w:rPr>
              <w:t>Ability to provide clinical leadership to the multidisciplinary team</w:t>
            </w:r>
          </w:p>
          <w:p w14:paraId="72FBD5B0" w14:textId="77777777" w:rsidR="00941CC6" w:rsidRPr="00923109" w:rsidRDefault="00941CC6" w:rsidP="00941CC6">
            <w:pPr>
              <w:pStyle w:val="ListParagraph"/>
              <w:numPr>
                <w:ilvl w:val="0"/>
                <w:numId w:val="38"/>
              </w:numPr>
              <w:autoSpaceDE/>
              <w:autoSpaceDN/>
              <w:adjustRightInd/>
              <w:contextualSpacing/>
              <w:rPr>
                <w:rFonts w:cs="Arial"/>
              </w:rPr>
            </w:pPr>
            <w:r>
              <w:rPr>
                <w:rFonts w:cs="Arial"/>
              </w:rPr>
              <w:t>A</w:t>
            </w:r>
            <w:r w:rsidRPr="00923109">
              <w:rPr>
                <w:rFonts w:cs="Arial"/>
              </w:rPr>
              <w:t>bility to communicate effectively with clinical colleagues, colleagues in other disciplines and support staff</w:t>
            </w:r>
          </w:p>
          <w:p w14:paraId="4241B30E" w14:textId="77777777" w:rsidR="00941CC6" w:rsidRDefault="00941CC6" w:rsidP="00941CC6">
            <w:pPr>
              <w:widowControl w:val="0"/>
              <w:numPr>
                <w:ilvl w:val="0"/>
                <w:numId w:val="38"/>
              </w:numPr>
              <w:rPr>
                <w:rFonts w:ascii="Arial" w:hAnsi="Arial" w:cs="Arial"/>
              </w:rPr>
            </w:pPr>
            <w:r>
              <w:rPr>
                <w:rFonts w:ascii="Arial" w:hAnsi="Arial" w:cs="Arial"/>
              </w:rPr>
              <w:t>An awareness of personal limitations</w:t>
            </w:r>
          </w:p>
          <w:p w14:paraId="6D7EEC23" w14:textId="77777777" w:rsidR="00941CC6" w:rsidRDefault="00941CC6" w:rsidP="00941CC6">
            <w:pPr>
              <w:widowControl w:val="0"/>
              <w:numPr>
                <w:ilvl w:val="0"/>
                <w:numId w:val="38"/>
              </w:numPr>
              <w:rPr>
                <w:rFonts w:ascii="Arial" w:hAnsi="Arial" w:cs="Arial"/>
              </w:rPr>
            </w:pPr>
            <w:r>
              <w:rPr>
                <w:rFonts w:ascii="Arial" w:hAnsi="Arial" w:cs="Arial"/>
              </w:rPr>
              <w:t>Ability to work under pressure and cope with setbacks</w:t>
            </w:r>
          </w:p>
        </w:tc>
        <w:tc>
          <w:tcPr>
            <w:tcW w:w="3166" w:type="dxa"/>
            <w:shd w:val="clear" w:color="auto" w:fill="FFFFFF"/>
          </w:tcPr>
          <w:p w14:paraId="3935E291" w14:textId="77777777" w:rsidR="00941CC6" w:rsidRDefault="00941CC6" w:rsidP="00E76865">
            <w:pPr>
              <w:widowControl w:val="0"/>
              <w:ind w:left="360"/>
              <w:rPr>
                <w:rFonts w:ascii="Arial" w:hAnsi="Arial" w:cs="Arial"/>
              </w:rPr>
            </w:pPr>
          </w:p>
        </w:tc>
      </w:tr>
    </w:tbl>
    <w:p w14:paraId="686C5FA9" w14:textId="77777777" w:rsidR="00941CC6" w:rsidRPr="002F3DF8" w:rsidRDefault="00941CC6" w:rsidP="00941CC6">
      <w:pPr>
        <w:ind w:right="-902"/>
        <w:jc w:val="both"/>
        <w:rPr>
          <w:rFonts w:ascii="Arial" w:hAnsi="Arial" w:cs="Arial"/>
          <w:b/>
          <w:sz w:val="20"/>
          <w:szCs w:val="20"/>
          <w:u w:val="single"/>
        </w:rPr>
        <w:sectPr w:rsidR="00941CC6" w:rsidRPr="002F3DF8" w:rsidSect="00941CC6">
          <w:footerReference w:type="default" r:id="rId28"/>
          <w:type w:val="continuous"/>
          <w:pgSz w:w="11906" w:h="16838" w:code="9"/>
          <w:pgMar w:top="900" w:right="1797" w:bottom="1440" w:left="1797" w:header="709" w:footer="709" w:gutter="0"/>
          <w:pgNumType w:start="1"/>
          <w:cols w:space="708"/>
          <w:docGrid w:linePitch="360"/>
        </w:sect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423CD8F0" w14:textId="77777777" w:rsidR="00BF2B07" w:rsidRDefault="00BF2B07" w:rsidP="008A52ED">
      <w:pPr>
        <w:rPr>
          <w:rFonts w:ascii="Arial" w:hAnsi="Arial" w:cs="Arial"/>
          <w:b/>
          <w:bCs/>
          <w:color w:val="002060"/>
          <w:sz w:val="32"/>
          <w:szCs w:val="32"/>
        </w:rPr>
      </w:pPr>
    </w:p>
    <w:p w14:paraId="335B56BD" w14:textId="77777777" w:rsidR="00BF2B07" w:rsidRDefault="00BF2B07" w:rsidP="008A52ED">
      <w:pPr>
        <w:rPr>
          <w:rFonts w:ascii="Arial" w:hAnsi="Arial" w:cs="Arial"/>
          <w:b/>
          <w:bCs/>
          <w:color w:val="002060"/>
          <w:sz w:val="32"/>
          <w:szCs w:val="32"/>
        </w:rPr>
      </w:pPr>
    </w:p>
    <w:p w14:paraId="521B6B8C" w14:textId="77777777" w:rsidR="00BF2B07" w:rsidRDefault="00BF2B07" w:rsidP="008A52ED">
      <w:pPr>
        <w:rPr>
          <w:rFonts w:ascii="Arial" w:hAnsi="Arial" w:cs="Arial"/>
          <w:b/>
          <w:bCs/>
          <w:color w:val="002060"/>
          <w:sz w:val="32"/>
          <w:szCs w:val="32"/>
        </w:rPr>
      </w:pPr>
    </w:p>
    <w:p w14:paraId="00F9C05E" w14:textId="77777777" w:rsidR="00BF2B07" w:rsidRDefault="00BF2B07" w:rsidP="008A52ED">
      <w:pPr>
        <w:rPr>
          <w:rFonts w:ascii="Arial" w:hAnsi="Arial" w:cs="Arial"/>
          <w:b/>
          <w:bCs/>
          <w:color w:val="002060"/>
          <w:sz w:val="32"/>
          <w:szCs w:val="32"/>
        </w:rPr>
      </w:pPr>
    </w:p>
    <w:p w14:paraId="085575D9" w14:textId="77777777" w:rsidR="00BF2B07" w:rsidRDefault="00BF2B07" w:rsidP="008A52ED">
      <w:pPr>
        <w:rPr>
          <w:rFonts w:ascii="Arial" w:hAnsi="Arial" w:cs="Arial"/>
          <w:b/>
          <w:bCs/>
          <w:color w:val="002060"/>
          <w:sz w:val="32"/>
          <w:szCs w:val="32"/>
        </w:rPr>
      </w:pPr>
    </w:p>
    <w:p w14:paraId="5196B2F0" w14:textId="77777777" w:rsidR="00BF2B07" w:rsidRDefault="00BF2B07" w:rsidP="008A52ED">
      <w:pPr>
        <w:rPr>
          <w:rFonts w:ascii="Arial" w:hAnsi="Arial" w:cs="Arial"/>
          <w:b/>
          <w:bCs/>
          <w:color w:val="002060"/>
          <w:sz w:val="32"/>
          <w:szCs w:val="32"/>
        </w:rPr>
      </w:pPr>
    </w:p>
    <w:p w14:paraId="1D5B93DE" w14:textId="77777777" w:rsidR="00BF2B07" w:rsidRDefault="00BF2B07" w:rsidP="008A52ED">
      <w:pPr>
        <w:rPr>
          <w:rFonts w:ascii="Arial" w:hAnsi="Arial" w:cs="Arial"/>
          <w:b/>
          <w:bCs/>
          <w:color w:val="002060"/>
          <w:sz w:val="32"/>
          <w:szCs w:val="32"/>
        </w:rPr>
      </w:pPr>
    </w:p>
    <w:p w14:paraId="5D447261" w14:textId="77777777" w:rsidR="00BF2B07" w:rsidRDefault="00BF2B07" w:rsidP="008A52ED">
      <w:pPr>
        <w:rPr>
          <w:rFonts w:ascii="Arial" w:hAnsi="Arial" w:cs="Arial"/>
          <w:b/>
          <w:bCs/>
          <w:color w:val="002060"/>
          <w:sz w:val="32"/>
          <w:szCs w:val="32"/>
        </w:rPr>
      </w:pPr>
    </w:p>
    <w:p w14:paraId="25E4DF10" w14:textId="77777777" w:rsidR="00BF2B07" w:rsidRDefault="00BF2B07" w:rsidP="008A52ED">
      <w:pPr>
        <w:rPr>
          <w:rFonts w:ascii="Arial" w:hAnsi="Arial" w:cs="Arial"/>
          <w:b/>
          <w:bCs/>
          <w:color w:val="002060"/>
          <w:sz w:val="32"/>
          <w:szCs w:val="32"/>
        </w:rPr>
      </w:pPr>
    </w:p>
    <w:p w14:paraId="584E2AE6" w14:textId="77777777" w:rsidR="00BF2B07" w:rsidRDefault="00BF2B07" w:rsidP="008A52ED">
      <w:pPr>
        <w:rPr>
          <w:rFonts w:ascii="Arial" w:hAnsi="Arial" w:cs="Arial"/>
          <w:b/>
          <w:bCs/>
          <w:color w:val="002060"/>
          <w:sz w:val="32"/>
          <w:szCs w:val="32"/>
        </w:rPr>
      </w:pPr>
    </w:p>
    <w:p w14:paraId="7F113707" w14:textId="451F76D1" w:rsidR="008502BD" w:rsidRPr="008A52ED" w:rsidRDefault="00941CC6"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9"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941CC6" w:rsidP="00067415">
      <w:pPr>
        <w:jc w:val="both"/>
        <w:rPr>
          <w:rFonts w:ascii="Arial" w:hAnsi="Arial" w:cs="Arial"/>
          <w:b/>
          <w:color w:val="002060"/>
        </w:rPr>
      </w:pPr>
      <w:hyperlink r:id="rId30"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1"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2"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1C94FA19" w:rsidR="008502BD" w:rsidRPr="008A52ED" w:rsidRDefault="00941CC6" w:rsidP="00067415">
            <w:pPr>
              <w:rPr>
                <w:rFonts w:ascii="Arial" w:hAnsi="Arial" w:cs="Arial"/>
                <w:b/>
                <w:noProof/>
                <w:color w:val="002060"/>
              </w:rPr>
            </w:pPr>
            <w:r>
              <w:rPr>
                <w:rFonts w:ascii="Arial" w:hAnsi="Arial" w:cs="Arial"/>
                <w:b/>
                <w:noProof/>
                <w:color w:val="002060"/>
              </w:rPr>
              <w:t>Fixed Term</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1A4B55F2" w:rsidR="008502BD" w:rsidRPr="008A52ED" w:rsidRDefault="00941CC6" w:rsidP="00067415">
            <w:pPr>
              <w:rPr>
                <w:rFonts w:ascii="Arial" w:hAnsi="Arial" w:cs="Arial"/>
                <w:b/>
                <w:noProof/>
                <w:color w:val="002060"/>
              </w:rPr>
            </w:pPr>
            <w:r>
              <w:rPr>
                <w:rFonts w:ascii="Arial" w:hAnsi="Arial" w:cs="Arial"/>
                <w:b/>
                <w:noProof/>
                <w:color w:val="002060"/>
              </w:rPr>
              <w:t xml:space="preserve">Locum </w:t>
            </w:r>
            <w:r w:rsidR="00855109"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3"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6E0BEAC8" w:rsidR="008502BD" w:rsidRPr="008A52ED" w:rsidRDefault="00941CC6" w:rsidP="00855109">
            <w:pPr>
              <w:jc w:val="both"/>
              <w:rPr>
                <w:rFonts w:ascii="Arial" w:hAnsi="Arial" w:cs="Arial"/>
                <w:color w:val="002060"/>
              </w:rPr>
            </w:pPr>
            <w:r>
              <w:rPr>
                <w:rFonts w:ascii="Arial" w:hAnsi="Arial" w:cs="Arial"/>
                <w:b/>
                <w:color w:val="002060"/>
              </w:rPr>
              <w:t xml:space="preserve">The employment is subject to one </w:t>
            </w:r>
            <w:r w:rsidR="008502BD" w:rsidRPr="008A52ED">
              <w:rPr>
                <w:rFonts w:ascii="Arial" w:hAnsi="Arial" w:cs="Arial"/>
                <w:b/>
                <w:color w:val="002060"/>
              </w:rPr>
              <w:t>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237FFE0E"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firs</w:t>
      </w:r>
      <w:r w:rsidR="00941CC6">
        <w:rPr>
          <w:rFonts w:ascii="Arial" w:hAnsi="Arial" w:cs="Arial"/>
          <w:color w:val="002060"/>
          <w:sz w:val="24"/>
          <w:szCs w:val="24"/>
        </w:rPr>
        <w:t xml:space="preserve">t time you have applied for an </w:t>
      </w:r>
      <w:r w:rsidR="008502BD" w:rsidRPr="008A52ED">
        <w:rPr>
          <w:rFonts w:ascii="Arial" w:hAnsi="Arial" w:cs="Arial"/>
          <w:color w:val="002060"/>
          <w:sz w:val="24"/>
          <w:szCs w:val="24"/>
        </w:rPr>
        <w:t xml:space="preserve">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4"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5"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6"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941CC6" w:rsidP="00355A44">
      <w:pPr>
        <w:numPr>
          <w:ilvl w:val="0"/>
          <w:numId w:val="10"/>
        </w:numPr>
        <w:ind w:left="490"/>
        <w:rPr>
          <w:rFonts w:ascii="Arial" w:hAnsi="Arial" w:cs="Arial"/>
          <w:color w:val="002060"/>
        </w:rPr>
      </w:pPr>
      <w:hyperlink r:id="rId37"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941CC6" w:rsidP="00355A44">
      <w:pPr>
        <w:numPr>
          <w:ilvl w:val="0"/>
          <w:numId w:val="10"/>
        </w:numPr>
        <w:ind w:left="490"/>
        <w:rPr>
          <w:rFonts w:ascii="Arial" w:hAnsi="Arial" w:cs="Arial"/>
          <w:color w:val="002060"/>
        </w:rPr>
      </w:pPr>
      <w:hyperlink r:id="rId38"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941CC6" w:rsidP="00355A44">
      <w:pPr>
        <w:numPr>
          <w:ilvl w:val="0"/>
          <w:numId w:val="10"/>
        </w:numPr>
        <w:ind w:left="490"/>
        <w:rPr>
          <w:rFonts w:ascii="Arial" w:hAnsi="Arial" w:cs="Arial"/>
          <w:color w:val="002060"/>
        </w:rPr>
      </w:pPr>
      <w:hyperlink r:id="rId39"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941CC6" w:rsidP="00355A44">
      <w:pPr>
        <w:numPr>
          <w:ilvl w:val="0"/>
          <w:numId w:val="10"/>
        </w:numPr>
        <w:ind w:left="490"/>
        <w:rPr>
          <w:rFonts w:ascii="Arial" w:hAnsi="Arial" w:cs="Arial"/>
          <w:color w:val="002060"/>
        </w:rPr>
      </w:pPr>
      <w:hyperlink r:id="rId40"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941CC6" w:rsidP="00355A44">
      <w:pPr>
        <w:numPr>
          <w:ilvl w:val="0"/>
          <w:numId w:val="10"/>
        </w:numPr>
        <w:ind w:left="490"/>
        <w:rPr>
          <w:rFonts w:ascii="Arial" w:hAnsi="Arial" w:cs="Arial"/>
          <w:color w:val="002060"/>
        </w:rPr>
      </w:pPr>
      <w:hyperlink r:id="rId41"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941CC6" w:rsidP="00355A44">
      <w:pPr>
        <w:numPr>
          <w:ilvl w:val="0"/>
          <w:numId w:val="10"/>
        </w:numPr>
        <w:ind w:left="490"/>
        <w:rPr>
          <w:rFonts w:ascii="Arial" w:hAnsi="Arial" w:cs="Arial"/>
          <w:color w:val="002060"/>
        </w:rPr>
      </w:pPr>
      <w:hyperlink r:id="rId42"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941CC6" w:rsidP="00355A44">
      <w:pPr>
        <w:numPr>
          <w:ilvl w:val="0"/>
          <w:numId w:val="10"/>
        </w:numPr>
        <w:ind w:left="490"/>
        <w:rPr>
          <w:rFonts w:ascii="Arial" w:hAnsi="Arial" w:cs="Arial"/>
          <w:color w:val="002060"/>
        </w:rPr>
      </w:pPr>
      <w:hyperlink r:id="rId43"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941CC6" w:rsidP="00355A44">
      <w:pPr>
        <w:numPr>
          <w:ilvl w:val="0"/>
          <w:numId w:val="10"/>
        </w:numPr>
        <w:ind w:left="490"/>
        <w:rPr>
          <w:rFonts w:ascii="Arial" w:hAnsi="Arial" w:cs="Arial"/>
          <w:color w:val="002060"/>
        </w:rPr>
      </w:pPr>
      <w:hyperlink r:id="rId44"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941CC6" w:rsidP="00355A44">
      <w:pPr>
        <w:numPr>
          <w:ilvl w:val="0"/>
          <w:numId w:val="10"/>
        </w:numPr>
        <w:ind w:left="490"/>
        <w:rPr>
          <w:rFonts w:ascii="Arial" w:hAnsi="Arial" w:cs="Arial"/>
          <w:color w:val="002060"/>
        </w:rPr>
      </w:pPr>
      <w:hyperlink r:id="rId45"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941CC6" w:rsidP="00067415">
      <w:pPr>
        <w:numPr>
          <w:ilvl w:val="0"/>
          <w:numId w:val="15"/>
        </w:numPr>
        <w:rPr>
          <w:rFonts w:ascii="Arial" w:hAnsi="Arial" w:cs="Arial"/>
          <w:color w:val="002060"/>
        </w:rPr>
      </w:pPr>
      <w:hyperlink r:id="rId46"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941CC6" w:rsidP="00067415">
      <w:pPr>
        <w:numPr>
          <w:ilvl w:val="0"/>
          <w:numId w:val="15"/>
        </w:numPr>
        <w:rPr>
          <w:rFonts w:ascii="Arial" w:hAnsi="Arial" w:cs="Arial"/>
          <w:color w:val="002060"/>
        </w:rPr>
      </w:pPr>
      <w:hyperlink r:id="rId47"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941CC6" w:rsidP="00067415">
      <w:pPr>
        <w:numPr>
          <w:ilvl w:val="0"/>
          <w:numId w:val="15"/>
        </w:numPr>
        <w:rPr>
          <w:rFonts w:ascii="Arial" w:hAnsi="Arial" w:cs="Arial"/>
          <w:color w:val="002060"/>
        </w:rPr>
      </w:pPr>
      <w:hyperlink r:id="rId48"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9"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50"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1"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2"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941CC6" w:rsidP="00067415">
      <w:pPr>
        <w:spacing w:before="300" w:after="300"/>
        <w:outlineLvl w:val="0"/>
        <w:rPr>
          <w:rFonts w:ascii="Arial" w:hAnsi="Arial" w:cs="Arial"/>
          <w:b/>
          <w:bCs/>
          <w:color w:val="002060"/>
          <w:kern w:val="36"/>
        </w:rPr>
      </w:pPr>
      <w:hyperlink r:id="rId53"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4"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5"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04213B1" w14:textId="77777777" w:rsidR="00941CC6" w:rsidRDefault="00941CC6" w:rsidP="00067415">
      <w:pPr>
        <w:kinsoku w:val="0"/>
        <w:overflowPunct w:val="0"/>
        <w:jc w:val="both"/>
        <w:rPr>
          <w:rFonts w:ascii="Arial" w:hAnsi="Arial" w:cs="Arial"/>
          <w:b/>
          <w:bCs/>
          <w:color w:val="002060"/>
          <w:sz w:val="32"/>
          <w:szCs w:val="32"/>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7"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941CC6" w:rsidP="00067415">
      <w:pPr>
        <w:pStyle w:val="Default"/>
        <w:rPr>
          <w:b/>
          <w:color w:val="002060"/>
        </w:rPr>
      </w:pPr>
      <w:hyperlink r:id="rId59"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941CC6" w:rsidP="00067415">
      <w:pPr>
        <w:pStyle w:val="Default"/>
        <w:rPr>
          <w:b/>
          <w:color w:val="002060"/>
        </w:rPr>
      </w:pPr>
      <w:hyperlink r:id="rId60"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941CC6" w:rsidP="00067415">
      <w:pPr>
        <w:pStyle w:val="Default"/>
        <w:rPr>
          <w:b/>
          <w:color w:val="002060"/>
        </w:rPr>
      </w:pPr>
      <w:hyperlink r:id="rId61"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62"/>
      <w:footerReference w:type="default" r:id="rId63"/>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92B5" w14:textId="77777777" w:rsidR="00941CC6" w:rsidRDefault="00941CC6" w:rsidP="004D0845">
    <w:pPr>
      <w:pStyle w:val="Footer"/>
      <w:tabs>
        <w:tab w:val="right" w:pos="10466"/>
      </w:tabs>
    </w:pPr>
    <w:r>
      <w:tab/>
    </w:r>
    <w:r>
      <w:fldChar w:fldCharType="begin"/>
    </w:r>
    <w:r>
      <w:instrText xml:space="preserve"> PAGE   \* MERGEFORMAT </w:instrText>
    </w:r>
    <w:r>
      <w:fldChar w:fldCharType="separate"/>
    </w:r>
    <w:r>
      <w:rPr>
        <w:noProof/>
      </w:rPr>
      <w:t>9</w:t>
    </w:r>
    <w:r>
      <w:fldChar w:fldCharType="end"/>
    </w:r>
  </w:p>
  <w:p w14:paraId="0D830CD0" w14:textId="77777777" w:rsidR="00941CC6" w:rsidRDefault="00941C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941CC6">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941CC6">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941CC6">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776C1"/>
    <w:multiLevelType w:val="hybridMultilevel"/>
    <w:tmpl w:val="A5B00390"/>
    <w:lvl w:ilvl="0" w:tplc="B2A62612">
      <w:start w:val="1"/>
      <w:numFmt w:val="bullet"/>
      <w:lvlText w:val=""/>
      <w:lvlJc w:val="left"/>
      <w:pPr>
        <w:tabs>
          <w:tab w:val="num" w:pos="360"/>
        </w:tabs>
        <w:ind w:left="360" w:hanging="360"/>
      </w:pPr>
      <w:rPr>
        <w:rFonts w:ascii="Symbol" w:hAnsi="Symbol" w:hint="default"/>
      </w:rPr>
    </w:lvl>
    <w:lvl w:ilvl="1" w:tplc="099AAB64" w:tentative="1">
      <w:start w:val="1"/>
      <w:numFmt w:val="bullet"/>
      <w:lvlText w:val="o"/>
      <w:lvlJc w:val="left"/>
      <w:pPr>
        <w:tabs>
          <w:tab w:val="num" w:pos="1080"/>
        </w:tabs>
        <w:ind w:left="1080" w:hanging="360"/>
      </w:pPr>
      <w:rPr>
        <w:rFonts w:ascii="Courier New" w:hAnsi="Courier New" w:hint="default"/>
      </w:rPr>
    </w:lvl>
    <w:lvl w:ilvl="2" w:tplc="B1C69192" w:tentative="1">
      <w:start w:val="1"/>
      <w:numFmt w:val="bullet"/>
      <w:lvlText w:val=""/>
      <w:lvlJc w:val="left"/>
      <w:pPr>
        <w:tabs>
          <w:tab w:val="num" w:pos="1800"/>
        </w:tabs>
        <w:ind w:left="1800" w:hanging="360"/>
      </w:pPr>
      <w:rPr>
        <w:rFonts w:ascii="Wingdings" w:hAnsi="Wingdings" w:hint="default"/>
      </w:rPr>
    </w:lvl>
    <w:lvl w:ilvl="3" w:tplc="01464ABC" w:tentative="1">
      <w:start w:val="1"/>
      <w:numFmt w:val="bullet"/>
      <w:lvlText w:val=""/>
      <w:lvlJc w:val="left"/>
      <w:pPr>
        <w:tabs>
          <w:tab w:val="num" w:pos="2520"/>
        </w:tabs>
        <w:ind w:left="2520" w:hanging="360"/>
      </w:pPr>
      <w:rPr>
        <w:rFonts w:ascii="Symbol" w:hAnsi="Symbol" w:hint="default"/>
      </w:rPr>
    </w:lvl>
    <w:lvl w:ilvl="4" w:tplc="6BEA8A82" w:tentative="1">
      <w:start w:val="1"/>
      <w:numFmt w:val="bullet"/>
      <w:lvlText w:val="o"/>
      <w:lvlJc w:val="left"/>
      <w:pPr>
        <w:tabs>
          <w:tab w:val="num" w:pos="3240"/>
        </w:tabs>
        <w:ind w:left="3240" w:hanging="360"/>
      </w:pPr>
      <w:rPr>
        <w:rFonts w:ascii="Courier New" w:hAnsi="Courier New" w:hint="default"/>
      </w:rPr>
    </w:lvl>
    <w:lvl w:ilvl="5" w:tplc="2E9CA1A2" w:tentative="1">
      <w:start w:val="1"/>
      <w:numFmt w:val="bullet"/>
      <w:lvlText w:val=""/>
      <w:lvlJc w:val="left"/>
      <w:pPr>
        <w:tabs>
          <w:tab w:val="num" w:pos="3960"/>
        </w:tabs>
        <w:ind w:left="3960" w:hanging="360"/>
      </w:pPr>
      <w:rPr>
        <w:rFonts w:ascii="Wingdings" w:hAnsi="Wingdings" w:hint="default"/>
      </w:rPr>
    </w:lvl>
    <w:lvl w:ilvl="6" w:tplc="5DA6214E" w:tentative="1">
      <w:start w:val="1"/>
      <w:numFmt w:val="bullet"/>
      <w:lvlText w:val=""/>
      <w:lvlJc w:val="left"/>
      <w:pPr>
        <w:tabs>
          <w:tab w:val="num" w:pos="4680"/>
        </w:tabs>
        <w:ind w:left="4680" w:hanging="360"/>
      </w:pPr>
      <w:rPr>
        <w:rFonts w:ascii="Symbol" w:hAnsi="Symbol" w:hint="default"/>
      </w:rPr>
    </w:lvl>
    <w:lvl w:ilvl="7" w:tplc="0FDE2E68" w:tentative="1">
      <w:start w:val="1"/>
      <w:numFmt w:val="bullet"/>
      <w:lvlText w:val="o"/>
      <w:lvlJc w:val="left"/>
      <w:pPr>
        <w:tabs>
          <w:tab w:val="num" w:pos="5400"/>
        </w:tabs>
        <w:ind w:left="5400" w:hanging="360"/>
      </w:pPr>
      <w:rPr>
        <w:rFonts w:ascii="Courier New" w:hAnsi="Courier New" w:hint="default"/>
      </w:rPr>
    </w:lvl>
    <w:lvl w:ilvl="8" w:tplc="D2465AE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0623DFD"/>
    <w:multiLevelType w:val="hybridMultilevel"/>
    <w:tmpl w:val="FA5E9DC2"/>
    <w:lvl w:ilvl="0" w:tplc="C10EE646">
      <w:start w:val="1"/>
      <w:numFmt w:val="bullet"/>
      <w:lvlText w:val=""/>
      <w:lvlJc w:val="left"/>
      <w:pPr>
        <w:tabs>
          <w:tab w:val="num" w:pos="360"/>
        </w:tabs>
        <w:ind w:left="360" w:hanging="360"/>
      </w:pPr>
      <w:rPr>
        <w:rFonts w:ascii="Symbol" w:hAnsi="Symbol" w:hint="default"/>
      </w:rPr>
    </w:lvl>
    <w:lvl w:ilvl="1" w:tplc="AB1842EC" w:tentative="1">
      <w:start w:val="1"/>
      <w:numFmt w:val="bullet"/>
      <w:lvlText w:val="o"/>
      <w:lvlJc w:val="left"/>
      <w:pPr>
        <w:tabs>
          <w:tab w:val="num" w:pos="1080"/>
        </w:tabs>
        <w:ind w:left="1080" w:hanging="360"/>
      </w:pPr>
      <w:rPr>
        <w:rFonts w:ascii="Courier New" w:hAnsi="Courier New" w:hint="default"/>
      </w:rPr>
    </w:lvl>
    <w:lvl w:ilvl="2" w:tplc="C1A21AE2" w:tentative="1">
      <w:start w:val="1"/>
      <w:numFmt w:val="bullet"/>
      <w:lvlText w:val=""/>
      <w:lvlJc w:val="left"/>
      <w:pPr>
        <w:tabs>
          <w:tab w:val="num" w:pos="1800"/>
        </w:tabs>
        <w:ind w:left="1800" w:hanging="360"/>
      </w:pPr>
      <w:rPr>
        <w:rFonts w:ascii="Wingdings" w:hAnsi="Wingdings" w:hint="default"/>
      </w:rPr>
    </w:lvl>
    <w:lvl w:ilvl="3" w:tplc="ABAEAED0" w:tentative="1">
      <w:start w:val="1"/>
      <w:numFmt w:val="bullet"/>
      <w:lvlText w:val=""/>
      <w:lvlJc w:val="left"/>
      <w:pPr>
        <w:tabs>
          <w:tab w:val="num" w:pos="2520"/>
        </w:tabs>
        <w:ind w:left="2520" w:hanging="360"/>
      </w:pPr>
      <w:rPr>
        <w:rFonts w:ascii="Symbol" w:hAnsi="Symbol" w:hint="default"/>
      </w:rPr>
    </w:lvl>
    <w:lvl w:ilvl="4" w:tplc="FB929198" w:tentative="1">
      <w:start w:val="1"/>
      <w:numFmt w:val="bullet"/>
      <w:lvlText w:val="o"/>
      <w:lvlJc w:val="left"/>
      <w:pPr>
        <w:tabs>
          <w:tab w:val="num" w:pos="3240"/>
        </w:tabs>
        <w:ind w:left="3240" w:hanging="360"/>
      </w:pPr>
      <w:rPr>
        <w:rFonts w:ascii="Courier New" w:hAnsi="Courier New" w:hint="default"/>
      </w:rPr>
    </w:lvl>
    <w:lvl w:ilvl="5" w:tplc="1E565300" w:tentative="1">
      <w:start w:val="1"/>
      <w:numFmt w:val="bullet"/>
      <w:lvlText w:val=""/>
      <w:lvlJc w:val="left"/>
      <w:pPr>
        <w:tabs>
          <w:tab w:val="num" w:pos="3960"/>
        </w:tabs>
        <w:ind w:left="3960" w:hanging="360"/>
      </w:pPr>
      <w:rPr>
        <w:rFonts w:ascii="Wingdings" w:hAnsi="Wingdings" w:hint="default"/>
      </w:rPr>
    </w:lvl>
    <w:lvl w:ilvl="6" w:tplc="A60461CE" w:tentative="1">
      <w:start w:val="1"/>
      <w:numFmt w:val="bullet"/>
      <w:lvlText w:val=""/>
      <w:lvlJc w:val="left"/>
      <w:pPr>
        <w:tabs>
          <w:tab w:val="num" w:pos="4680"/>
        </w:tabs>
        <w:ind w:left="4680" w:hanging="360"/>
      </w:pPr>
      <w:rPr>
        <w:rFonts w:ascii="Symbol" w:hAnsi="Symbol" w:hint="default"/>
      </w:rPr>
    </w:lvl>
    <w:lvl w:ilvl="7" w:tplc="BA82BD54" w:tentative="1">
      <w:start w:val="1"/>
      <w:numFmt w:val="bullet"/>
      <w:lvlText w:val="o"/>
      <w:lvlJc w:val="left"/>
      <w:pPr>
        <w:tabs>
          <w:tab w:val="num" w:pos="5400"/>
        </w:tabs>
        <w:ind w:left="5400" w:hanging="360"/>
      </w:pPr>
      <w:rPr>
        <w:rFonts w:ascii="Courier New" w:hAnsi="Courier New" w:hint="default"/>
      </w:rPr>
    </w:lvl>
    <w:lvl w:ilvl="8" w:tplc="CF740A7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307CF0"/>
    <w:multiLevelType w:val="hybridMultilevel"/>
    <w:tmpl w:val="0C5C8D46"/>
    <w:lvl w:ilvl="0" w:tplc="91E2069C">
      <w:start w:val="1"/>
      <w:numFmt w:val="bullet"/>
      <w:lvlText w:val=""/>
      <w:lvlJc w:val="left"/>
      <w:pPr>
        <w:tabs>
          <w:tab w:val="num" w:pos="360"/>
        </w:tabs>
        <w:ind w:left="360" w:hanging="360"/>
      </w:pPr>
      <w:rPr>
        <w:rFonts w:ascii="Symbol" w:hAnsi="Symbol" w:hint="default"/>
      </w:rPr>
    </w:lvl>
    <w:lvl w:ilvl="1" w:tplc="D99CBA88" w:tentative="1">
      <w:start w:val="1"/>
      <w:numFmt w:val="bullet"/>
      <w:lvlText w:val="o"/>
      <w:lvlJc w:val="left"/>
      <w:pPr>
        <w:tabs>
          <w:tab w:val="num" w:pos="1080"/>
        </w:tabs>
        <w:ind w:left="1080" w:hanging="360"/>
      </w:pPr>
      <w:rPr>
        <w:rFonts w:ascii="Courier New" w:hAnsi="Courier New" w:hint="default"/>
      </w:rPr>
    </w:lvl>
    <w:lvl w:ilvl="2" w:tplc="91F60AD8" w:tentative="1">
      <w:start w:val="1"/>
      <w:numFmt w:val="bullet"/>
      <w:lvlText w:val=""/>
      <w:lvlJc w:val="left"/>
      <w:pPr>
        <w:tabs>
          <w:tab w:val="num" w:pos="1800"/>
        </w:tabs>
        <w:ind w:left="1800" w:hanging="360"/>
      </w:pPr>
      <w:rPr>
        <w:rFonts w:ascii="Wingdings" w:hAnsi="Wingdings" w:hint="default"/>
      </w:rPr>
    </w:lvl>
    <w:lvl w:ilvl="3" w:tplc="53E6293E" w:tentative="1">
      <w:start w:val="1"/>
      <w:numFmt w:val="bullet"/>
      <w:lvlText w:val=""/>
      <w:lvlJc w:val="left"/>
      <w:pPr>
        <w:tabs>
          <w:tab w:val="num" w:pos="2520"/>
        </w:tabs>
        <w:ind w:left="2520" w:hanging="360"/>
      </w:pPr>
      <w:rPr>
        <w:rFonts w:ascii="Symbol" w:hAnsi="Symbol" w:hint="default"/>
      </w:rPr>
    </w:lvl>
    <w:lvl w:ilvl="4" w:tplc="B7FCB0C6" w:tentative="1">
      <w:start w:val="1"/>
      <w:numFmt w:val="bullet"/>
      <w:lvlText w:val="o"/>
      <w:lvlJc w:val="left"/>
      <w:pPr>
        <w:tabs>
          <w:tab w:val="num" w:pos="3240"/>
        </w:tabs>
        <w:ind w:left="3240" w:hanging="360"/>
      </w:pPr>
      <w:rPr>
        <w:rFonts w:ascii="Courier New" w:hAnsi="Courier New" w:hint="default"/>
      </w:rPr>
    </w:lvl>
    <w:lvl w:ilvl="5" w:tplc="371CBFA4" w:tentative="1">
      <w:start w:val="1"/>
      <w:numFmt w:val="bullet"/>
      <w:lvlText w:val=""/>
      <w:lvlJc w:val="left"/>
      <w:pPr>
        <w:tabs>
          <w:tab w:val="num" w:pos="3960"/>
        </w:tabs>
        <w:ind w:left="3960" w:hanging="360"/>
      </w:pPr>
      <w:rPr>
        <w:rFonts w:ascii="Wingdings" w:hAnsi="Wingdings" w:hint="default"/>
      </w:rPr>
    </w:lvl>
    <w:lvl w:ilvl="6" w:tplc="6E78530E" w:tentative="1">
      <w:start w:val="1"/>
      <w:numFmt w:val="bullet"/>
      <w:lvlText w:val=""/>
      <w:lvlJc w:val="left"/>
      <w:pPr>
        <w:tabs>
          <w:tab w:val="num" w:pos="4680"/>
        </w:tabs>
        <w:ind w:left="4680" w:hanging="360"/>
      </w:pPr>
      <w:rPr>
        <w:rFonts w:ascii="Symbol" w:hAnsi="Symbol" w:hint="default"/>
      </w:rPr>
    </w:lvl>
    <w:lvl w:ilvl="7" w:tplc="C54452B4" w:tentative="1">
      <w:start w:val="1"/>
      <w:numFmt w:val="bullet"/>
      <w:lvlText w:val="o"/>
      <w:lvlJc w:val="left"/>
      <w:pPr>
        <w:tabs>
          <w:tab w:val="num" w:pos="5400"/>
        </w:tabs>
        <w:ind w:left="5400" w:hanging="360"/>
      </w:pPr>
      <w:rPr>
        <w:rFonts w:ascii="Courier New" w:hAnsi="Courier New" w:hint="default"/>
      </w:rPr>
    </w:lvl>
    <w:lvl w:ilvl="8" w:tplc="365CD062"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2554B"/>
    <w:multiLevelType w:val="hybridMultilevel"/>
    <w:tmpl w:val="42F66C68"/>
    <w:lvl w:ilvl="0" w:tplc="C49C0642">
      <w:start w:val="1"/>
      <w:numFmt w:val="bullet"/>
      <w:lvlText w:val=""/>
      <w:lvlJc w:val="left"/>
      <w:pPr>
        <w:ind w:left="720" w:hanging="360"/>
      </w:pPr>
      <w:rPr>
        <w:rFonts w:ascii="Symbol" w:hAnsi="Symbol" w:hint="default"/>
      </w:rPr>
    </w:lvl>
    <w:lvl w:ilvl="1" w:tplc="6816903E" w:tentative="1">
      <w:start w:val="1"/>
      <w:numFmt w:val="bullet"/>
      <w:lvlText w:val="o"/>
      <w:lvlJc w:val="left"/>
      <w:pPr>
        <w:ind w:left="1440" w:hanging="360"/>
      </w:pPr>
      <w:rPr>
        <w:rFonts w:ascii="Courier New" w:hAnsi="Courier New" w:hint="default"/>
      </w:rPr>
    </w:lvl>
    <w:lvl w:ilvl="2" w:tplc="1DE08A3C" w:tentative="1">
      <w:start w:val="1"/>
      <w:numFmt w:val="bullet"/>
      <w:lvlText w:val=""/>
      <w:lvlJc w:val="left"/>
      <w:pPr>
        <w:ind w:left="2160" w:hanging="360"/>
      </w:pPr>
      <w:rPr>
        <w:rFonts w:ascii="Wingdings" w:hAnsi="Wingdings" w:hint="default"/>
      </w:rPr>
    </w:lvl>
    <w:lvl w:ilvl="3" w:tplc="C2F83A28" w:tentative="1">
      <w:start w:val="1"/>
      <w:numFmt w:val="bullet"/>
      <w:lvlText w:val=""/>
      <w:lvlJc w:val="left"/>
      <w:pPr>
        <w:ind w:left="2880" w:hanging="360"/>
      </w:pPr>
      <w:rPr>
        <w:rFonts w:ascii="Symbol" w:hAnsi="Symbol" w:hint="default"/>
      </w:rPr>
    </w:lvl>
    <w:lvl w:ilvl="4" w:tplc="6038B4E2" w:tentative="1">
      <w:start w:val="1"/>
      <w:numFmt w:val="bullet"/>
      <w:lvlText w:val="o"/>
      <w:lvlJc w:val="left"/>
      <w:pPr>
        <w:ind w:left="3600" w:hanging="360"/>
      </w:pPr>
      <w:rPr>
        <w:rFonts w:ascii="Courier New" w:hAnsi="Courier New" w:hint="default"/>
      </w:rPr>
    </w:lvl>
    <w:lvl w:ilvl="5" w:tplc="BE4876C0" w:tentative="1">
      <w:start w:val="1"/>
      <w:numFmt w:val="bullet"/>
      <w:lvlText w:val=""/>
      <w:lvlJc w:val="left"/>
      <w:pPr>
        <w:ind w:left="4320" w:hanging="360"/>
      </w:pPr>
      <w:rPr>
        <w:rFonts w:ascii="Wingdings" w:hAnsi="Wingdings" w:hint="default"/>
      </w:rPr>
    </w:lvl>
    <w:lvl w:ilvl="6" w:tplc="1F382F98" w:tentative="1">
      <w:start w:val="1"/>
      <w:numFmt w:val="bullet"/>
      <w:lvlText w:val=""/>
      <w:lvlJc w:val="left"/>
      <w:pPr>
        <w:ind w:left="5040" w:hanging="360"/>
      </w:pPr>
      <w:rPr>
        <w:rFonts w:ascii="Symbol" w:hAnsi="Symbol" w:hint="default"/>
      </w:rPr>
    </w:lvl>
    <w:lvl w:ilvl="7" w:tplc="2F32E9FA" w:tentative="1">
      <w:start w:val="1"/>
      <w:numFmt w:val="bullet"/>
      <w:lvlText w:val="o"/>
      <w:lvlJc w:val="left"/>
      <w:pPr>
        <w:ind w:left="5760" w:hanging="360"/>
      </w:pPr>
      <w:rPr>
        <w:rFonts w:ascii="Courier New" w:hAnsi="Courier New" w:hint="default"/>
      </w:rPr>
    </w:lvl>
    <w:lvl w:ilvl="8" w:tplc="ADDC594C" w:tentative="1">
      <w:start w:val="1"/>
      <w:numFmt w:val="bullet"/>
      <w:lvlText w:val=""/>
      <w:lvlJc w:val="left"/>
      <w:pPr>
        <w:ind w:left="6480" w:hanging="360"/>
      </w:pPr>
      <w:rPr>
        <w:rFonts w:ascii="Wingdings" w:hAnsi="Wingdings" w:hint="default"/>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8"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22"/>
  </w:num>
  <w:num w:numId="10">
    <w:abstractNumId w:val="3"/>
  </w:num>
  <w:num w:numId="11">
    <w:abstractNumId w:val="29"/>
  </w:num>
  <w:num w:numId="12">
    <w:abstractNumId w:val="25"/>
  </w:num>
  <w:num w:numId="13">
    <w:abstractNumId w:val="16"/>
  </w:num>
  <w:num w:numId="14">
    <w:abstractNumId w:val="19"/>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30"/>
  </w:num>
  <w:num w:numId="21">
    <w:abstractNumId w:val="28"/>
  </w:num>
  <w:num w:numId="22">
    <w:abstractNumId w:val="26"/>
  </w:num>
  <w:num w:numId="23">
    <w:abstractNumId w:val="9"/>
  </w:num>
  <w:num w:numId="24">
    <w:abstractNumId w:val="6"/>
  </w:num>
  <w:num w:numId="25">
    <w:abstractNumId w:val="12"/>
  </w:num>
  <w:num w:numId="26">
    <w:abstractNumId w:val="7"/>
  </w:num>
  <w:num w:numId="27">
    <w:abstractNumId w:val="24"/>
  </w:num>
  <w:num w:numId="28">
    <w:abstractNumId w:val="21"/>
  </w:num>
  <w:num w:numId="29">
    <w:abstractNumId w:val="2"/>
  </w:num>
  <w:num w:numId="30">
    <w:abstractNumId w:val="18"/>
  </w:num>
  <w:num w:numId="31">
    <w:abstractNumId w:val="27"/>
  </w:num>
  <w:num w:numId="32">
    <w:abstractNumId w:val="20"/>
  </w:num>
  <w:num w:numId="33">
    <w:abstractNumId w:val="4"/>
  </w:num>
  <w:num w:numId="34">
    <w:abstractNumId w:val="5"/>
  </w:num>
  <w:num w:numId="35">
    <w:abstractNumId w:val="23"/>
  </w:num>
  <w:num w:numId="36">
    <w:abstractNumId w:val="13"/>
  </w:num>
  <w:num w:numId="37">
    <w:abstractNumId w:val="1"/>
  </w:num>
  <w:num w:numId="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1CC6"/>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941C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rsid w:val="004332E9"/>
    <w:pPr>
      <w:spacing w:after="120" w:line="480" w:lineRule="auto"/>
    </w:pPr>
    <w:rPr>
      <w:szCs w:val="20"/>
      <w:lang w:eastAsia="en-US"/>
    </w:rPr>
  </w:style>
  <w:style w:type="character" w:customStyle="1" w:styleId="BodyText2Char">
    <w:name w:val="Body Text 2 Char"/>
    <w:basedOn w:val="DefaultParagraphFont"/>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semiHidden/>
    <w:rsid w:val="00941CC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5.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8.png"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3.xm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image" Target="media/image6.jpeg"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jpeg" /><Relationship Id="rId64"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6762</Words>
  <Characters>40441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2024-01-05T11:20:00Z</dcterms:created>
  <dcterms:modified xsi:type="dcterms:W3CDTF">2024-01-05T11:20:00Z</dcterms:modified>
</cp:coreProperties>
</file>