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3027"/>
        <w:gridCol w:w="2459"/>
        <w:gridCol w:w="1524"/>
      </w:tblGrid>
      <w:tr w:rsidR="00CD4BF5" w:rsidRPr="00924801" w14:paraId="68825E94" w14:textId="130308A3" w:rsidTr="00CD4BF5">
        <w:tc>
          <w:tcPr>
            <w:tcW w:w="2318" w:type="dxa"/>
            <w:tcBorders>
              <w:top w:val="single" w:sz="4" w:space="0" w:color="auto"/>
              <w:left w:val="single" w:sz="4" w:space="0" w:color="auto"/>
              <w:bottom w:val="single" w:sz="4" w:space="0" w:color="auto"/>
              <w:right w:val="single" w:sz="4" w:space="0" w:color="auto"/>
            </w:tcBorders>
            <w:shd w:val="clear" w:color="auto" w:fill="C0C0C0"/>
          </w:tcPr>
          <w:p w14:paraId="242D2604" w14:textId="77777777" w:rsidR="00CD4BF5" w:rsidRPr="00924801" w:rsidRDefault="00CD4BF5" w:rsidP="00710DCB">
            <w:pPr>
              <w:pStyle w:val="Heading1"/>
              <w:spacing w:after="0"/>
              <w:rPr>
                <w:sz w:val="28"/>
                <w:szCs w:val="28"/>
              </w:rPr>
            </w:pPr>
            <w:r w:rsidRPr="00924801">
              <w:rPr>
                <w:sz w:val="28"/>
                <w:szCs w:val="28"/>
              </w:rPr>
              <w:t>CRITERIA</w:t>
            </w:r>
          </w:p>
        </w:tc>
        <w:tc>
          <w:tcPr>
            <w:tcW w:w="3158" w:type="dxa"/>
            <w:tcBorders>
              <w:top w:val="single" w:sz="4" w:space="0" w:color="auto"/>
              <w:left w:val="single" w:sz="4" w:space="0" w:color="auto"/>
              <w:bottom w:val="single" w:sz="4" w:space="0" w:color="auto"/>
              <w:right w:val="single" w:sz="4" w:space="0" w:color="auto"/>
            </w:tcBorders>
            <w:shd w:val="clear" w:color="auto" w:fill="C0C0C0"/>
          </w:tcPr>
          <w:p w14:paraId="73181BD3" w14:textId="77777777" w:rsidR="00CD4BF5" w:rsidRPr="00924801" w:rsidRDefault="00CD4BF5" w:rsidP="00710DCB">
            <w:pPr>
              <w:rPr>
                <w:sz w:val="28"/>
                <w:szCs w:val="28"/>
              </w:rPr>
            </w:pPr>
            <w:r w:rsidRPr="00924801">
              <w:rPr>
                <w:sz w:val="28"/>
                <w:szCs w:val="28"/>
              </w:rPr>
              <w:t>ESSENTIAL</w:t>
            </w:r>
          </w:p>
        </w:tc>
        <w:tc>
          <w:tcPr>
            <w:tcW w:w="2539" w:type="dxa"/>
            <w:tcBorders>
              <w:top w:val="single" w:sz="4" w:space="0" w:color="auto"/>
              <w:left w:val="single" w:sz="4" w:space="0" w:color="auto"/>
              <w:bottom w:val="single" w:sz="4" w:space="0" w:color="auto"/>
              <w:right w:val="single" w:sz="4" w:space="0" w:color="auto"/>
            </w:tcBorders>
            <w:shd w:val="clear" w:color="auto" w:fill="C0C0C0"/>
          </w:tcPr>
          <w:p w14:paraId="7EF06C94" w14:textId="77777777" w:rsidR="00CD4BF5" w:rsidRPr="00924801" w:rsidRDefault="00CD4BF5" w:rsidP="00710DCB">
            <w:pPr>
              <w:rPr>
                <w:sz w:val="28"/>
                <w:szCs w:val="28"/>
              </w:rPr>
            </w:pPr>
            <w:r w:rsidRPr="00924801">
              <w:rPr>
                <w:sz w:val="28"/>
                <w:szCs w:val="28"/>
              </w:rPr>
              <w:t>DESIRABLE</w:t>
            </w:r>
          </w:p>
        </w:tc>
        <w:tc>
          <w:tcPr>
            <w:tcW w:w="1227" w:type="dxa"/>
            <w:tcBorders>
              <w:top w:val="single" w:sz="4" w:space="0" w:color="auto"/>
              <w:left w:val="single" w:sz="4" w:space="0" w:color="auto"/>
              <w:bottom w:val="single" w:sz="4" w:space="0" w:color="auto"/>
              <w:right w:val="single" w:sz="4" w:space="0" w:color="auto"/>
            </w:tcBorders>
            <w:shd w:val="clear" w:color="auto" w:fill="C0C0C0"/>
          </w:tcPr>
          <w:p w14:paraId="766F132D" w14:textId="6C564FAE" w:rsidR="00CD4BF5" w:rsidRPr="00924801" w:rsidRDefault="00CD4BF5" w:rsidP="00710DCB">
            <w:pPr>
              <w:rPr>
                <w:sz w:val="28"/>
                <w:szCs w:val="28"/>
              </w:rPr>
            </w:pPr>
            <w:r>
              <w:rPr>
                <w:sz w:val="28"/>
                <w:szCs w:val="28"/>
              </w:rPr>
              <w:t>Method of Evaluation</w:t>
            </w:r>
          </w:p>
        </w:tc>
      </w:tr>
      <w:tr w:rsidR="00CD4BF5" w14:paraId="49E1456F" w14:textId="1E3FADDF" w:rsidTr="00CD4BF5">
        <w:tc>
          <w:tcPr>
            <w:tcW w:w="2318" w:type="dxa"/>
            <w:tcBorders>
              <w:top w:val="single" w:sz="4" w:space="0" w:color="auto"/>
              <w:left w:val="single" w:sz="4" w:space="0" w:color="auto"/>
              <w:bottom w:val="single" w:sz="4" w:space="0" w:color="auto"/>
              <w:right w:val="single" w:sz="4" w:space="0" w:color="auto"/>
            </w:tcBorders>
          </w:tcPr>
          <w:p w14:paraId="6C73347F" w14:textId="77777777" w:rsidR="00CD4BF5" w:rsidRPr="00924801" w:rsidRDefault="00CD4BF5" w:rsidP="00710DCB">
            <w:pPr>
              <w:pStyle w:val="Heading1"/>
              <w:spacing w:after="0"/>
              <w:rPr>
                <w:sz w:val="22"/>
                <w:szCs w:val="22"/>
              </w:rPr>
            </w:pPr>
            <w:r w:rsidRPr="00924801">
              <w:rPr>
                <w:sz w:val="22"/>
                <w:szCs w:val="22"/>
              </w:rPr>
              <w:t>EXPERIENCE:</w:t>
            </w:r>
          </w:p>
          <w:p w14:paraId="1AB1D916" w14:textId="77777777" w:rsidR="00CD4BF5" w:rsidRPr="00924801" w:rsidRDefault="00CD4BF5" w:rsidP="00710DCB">
            <w:pPr>
              <w:rPr>
                <w:szCs w:val="22"/>
              </w:rPr>
            </w:pPr>
          </w:p>
        </w:tc>
        <w:tc>
          <w:tcPr>
            <w:tcW w:w="3158" w:type="dxa"/>
            <w:tcBorders>
              <w:top w:val="single" w:sz="4" w:space="0" w:color="auto"/>
              <w:left w:val="single" w:sz="4" w:space="0" w:color="auto"/>
              <w:bottom w:val="single" w:sz="4" w:space="0" w:color="auto"/>
              <w:right w:val="single" w:sz="4" w:space="0" w:color="auto"/>
            </w:tcBorders>
          </w:tcPr>
          <w:p w14:paraId="33E1D8AA" w14:textId="77777777" w:rsidR="00CD4BF5" w:rsidRPr="00924801" w:rsidRDefault="00CD4BF5" w:rsidP="00710DCB">
            <w:pPr>
              <w:rPr>
                <w:szCs w:val="22"/>
              </w:rPr>
            </w:pPr>
            <w:r w:rsidRPr="00924801">
              <w:rPr>
                <w:szCs w:val="22"/>
              </w:rPr>
              <w:t>Significant experience of working with children/young people with a range of complex communicat</w:t>
            </w:r>
            <w:r>
              <w:rPr>
                <w:szCs w:val="22"/>
              </w:rPr>
              <w:t xml:space="preserve">ion impairments particularly hearing loss </w:t>
            </w:r>
          </w:p>
          <w:p w14:paraId="7A41CA05" w14:textId="77777777" w:rsidR="00CD4BF5" w:rsidRDefault="00CD4BF5" w:rsidP="00710DCB">
            <w:pPr>
              <w:rPr>
                <w:color w:val="000000"/>
                <w:szCs w:val="22"/>
              </w:rPr>
            </w:pPr>
          </w:p>
          <w:p w14:paraId="48F020F8" w14:textId="77777777" w:rsidR="00CD4BF5" w:rsidRDefault="00CD4BF5" w:rsidP="00710DCB">
            <w:pPr>
              <w:rPr>
                <w:color w:val="000000"/>
                <w:szCs w:val="22"/>
              </w:rPr>
            </w:pPr>
            <w:r>
              <w:rPr>
                <w:color w:val="000000"/>
                <w:szCs w:val="22"/>
              </w:rPr>
              <w:t>Experience working collaboratively with other agencies, particularly education colleagues in HI Service and relevant partner agencies in health (i.e. Audiology)</w:t>
            </w:r>
          </w:p>
          <w:p w14:paraId="3F2DAD60" w14:textId="77777777" w:rsidR="00CD4BF5" w:rsidRDefault="00CD4BF5" w:rsidP="00710DCB">
            <w:pPr>
              <w:rPr>
                <w:color w:val="000000"/>
                <w:szCs w:val="22"/>
              </w:rPr>
            </w:pPr>
          </w:p>
          <w:p w14:paraId="56610933" w14:textId="77777777" w:rsidR="00CD4BF5" w:rsidRDefault="00CD4BF5" w:rsidP="00710DCB">
            <w:pPr>
              <w:shd w:val="clear" w:color="auto" w:fill="FFFFFF"/>
              <w:rPr>
                <w:color w:val="000000"/>
                <w:spacing w:val="-2"/>
                <w:w w:val="103"/>
                <w:szCs w:val="22"/>
              </w:rPr>
            </w:pPr>
            <w:r w:rsidRPr="00924801">
              <w:rPr>
                <w:color w:val="000000"/>
                <w:w w:val="96"/>
                <w:szCs w:val="22"/>
              </w:rPr>
              <w:t xml:space="preserve">Experience in the </w:t>
            </w:r>
            <w:r w:rsidRPr="00924801">
              <w:rPr>
                <w:color w:val="000000"/>
                <w:w w:val="101"/>
                <w:szCs w:val="22"/>
              </w:rPr>
              <w:t xml:space="preserve">provision of training to a </w:t>
            </w:r>
            <w:r w:rsidRPr="00924801">
              <w:rPr>
                <w:color w:val="000000"/>
                <w:szCs w:val="22"/>
              </w:rPr>
              <w:t xml:space="preserve">range of professional </w:t>
            </w:r>
            <w:r w:rsidRPr="00924801">
              <w:rPr>
                <w:color w:val="000000"/>
                <w:spacing w:val="-2"/>
                <w:w w:val="103"/>
                <w:szCs w:val="22"/>
              </w:rPr>
              <w:t>groups.</w:t>
            </w:r>
          </w:p>
          <w:p w14:paraId="63AAD4BF" w14:textId="77777777" w:rsidR="00CD4BF5" w:rsidRDefault="00CD4BF5" w:rsidP="00710DCB">
            <w:pPr>
              <w:shd w:val="clear" w:color="auto" w:fill="FFFFFF"/>
              <w:rPr>
                <w:color w:val="000000"/>
                <w:spacing w:val="-2"/>
                <w:w w:val="103"/>
                <w:szCs w:val="22"/>
              </w:rPr>
            </w:pPr>
          </w:p>
          <w:p w14:paraId="2BB0A0D1" w14:textId="77777777" w:rsidR="00CD4BF5" w:rsidRDefault="00CD4BF5" w:rsidP="00710DCB">
            <w:pPr>
              <w:shd w:val="clear" w:color="auto" w:fill="FFFFFF"/>
              <w:rPr>
                <w:color w:val="000000"/>
                <w:spacing w:val="-2"/>
                <w:w w:val="103"/>
                <w:szCs w:val="22"/>
              </w:rPr>
            </w:pPr>
            <w:r>
              <w:rPr>
                <w:color w:val="000000"/>
                <w:spacing w:val="-2"/>
                <w:w w:val="103"/>
                <w:szCs w:val="22"/>
              </w:rPr>
              <w:t>Service planning and project management</w:t>
            </w:r>
          </w:p>
          <w:p w14:paraId="32164E50" w14:textId="77777777" w:rsidR="00CD4BF5" w:rsidRDefault="00CD4BF5" w:rsidP="00710DCB">
            <w:pPr>
              <w:shd w:val="clear" w:color="auto" w:fill="FFFFFF"/>
              <w:rPr>
                <w:color w:val="000000"/>
                <w:spacing w:val="-2"/>
                <w:w w:val="103"/>
                <w:szCs w:val="22"/>
              </w:rPr>
            </w:pPr>
          </w:p>
          <w:p w14:paraId="1CC72B7B" w14:textId="77777777" w:rsidR="00CD4BF5" w:rsidRDefault="00CD4BF5" w:rsidP="00710DCB">
            <w:pPr>
              <w:shd w:val="clear" w:color="auto" w:fill="FFFFFF"/>
              <w:rPr>
                <w:color w:val="000000"/>
                <w:spacing w:val="-2"/>
                <w:w w:val="103"/>
                <w:szCs w:val="22"/>
              </w:rPr>
            </w:pPr>
            <w:r>
              <w:rPr>
                <w:color w:val="000000"/>
                <w:spacing w:val="-2"/>
                <w:w w:val="103"/>
                <w:szCs w:val="22"/>
              </w:rPr>
              <w:t>Professional leadership and experience within the specialty which allows to lead safely, effectively and efficiently</w:t>
            </w:r>
          </w:p>
          <w:p w14:paraId="1FDBCE0D" w14:textId="77777777" w:rsidR="00CD4BF5" w:rsidRDefault="00CD4BF5" w:rsidP="00710DCB">
            <w:pPr>
              <w:shd w:val="clear" w:color="auto" w:fill="FFFFFF"/>
              <w:rPr>
                <w:color w:val="000000"/>
                <w:spacing w:val="-2"/>
                <w:w w:val="103"/>
                <w:szCs w:val="22"/>
              </w:rPr>
            </w:pPr>
          </w:p>
          <w:p w14:paraId="4E7C7D52" w14:textId="77777777" w:rsidR="00CD4BF5" w:rsidRPr="00924801" w:rsidRDefault="00CD4BF5" w:rsidP="00710DCB">
            <w:pPr>
              <w:shd w:val="clear" w:color="auto" w:fill="FFFFFF"/>
              <w:rPr>
                <w:color w:val="000000"/>
                <w:spacing w:val="-2"/>
                <w:w w:val="103"/>
                <w:szCs w:val="22"/>
              </w:rPr>
            </w:pPr>
            <w:r>
              <w:rPr>
                <w:color w:val="000000"/>
                <w:spacing w:val="-2"/>
                <w:w w:val="103"/>
                <w:szCs w:val="22"/>
              </w:rPr>
              <w:t>Experience in developing teams and services</w:t>
            </w:r>
          </w:p>
        </w:tc>
        <w:tc>
          <w:tcPr>
            <w:tcW w:w="2539" w:type="dxa"/>
            <w:tcBorders>
              <w:top w:val="single" w:sz="4" w:space="0" w:color="auto"/>
              <w:left w:val="single" w:sz="4" w:space="0" w:color="auto"/>
              <w:bottom w:val="single" w:sz="4" w:space="0" w:color="auto"/>
              <w:right w:val="single" w:sz="4" w:space="0" w:color="auto"/>
            </w:tcBorders>
          </w:tcPr>
          <w:p w14:paraId="18E0A043" w14:textId="463BB7CE" w:rsidR="00CD4BF5" w:rsidRPr="00924801" w:rsidRDefault="00CD4BF5" w:rsidP="00710DCB">
            <w:pPr>
              <w:rPr>
                <w:color w:val="000000"/>
                <w:spacing w:val="-2"/>
                <w:w w:val="101"/>
                <w:szCs w:val="22"/>
              </w:rPr>
            </w:pPr>
            <w:r w:rsidRPr="00924801">
              <w:rPr>
                <w:color w:val="000000"/>
                <w:spacing w:val="-2"/>
                <w:w w:val="101"/>
                <w:szCs w:val="22"/>
              </w:rPr>
              <w:t xml:space="preserve">Experience in working with parents through groups specific to </w:t>
            </w:r>
            <w:r>
              <w:rPr>
                <w:color w:val="000000"/>
                <w:spacing w:val="-2"/>
                <w:w w:val="101"/>
                <w:szCs w:val="22"/>
              </w:rPr>
              <w:t>hearing loss</w:t>
            </w:r>
          </w:p>
          <w:p w14:paraId="7C70EC46" w14:textId="77777777" w:rsidR="00CD4BF5" w:rsidRPr="00924801" w:rsidRDefault="00CD4BF5" w:rsidP="00710DCB">
            <w:pPr>
              <w:rPr>
                <w:color w:val="000000"/>
                <w:spacing w:val="-2"/>
                <w:w w:val="101"/>
                <w:szCs w:val="22"/>
              </w:rPr>
            </w:pPr>
          </w:p>
          <w:p w14:paraId="132533A4" w14:textId="77777777" w:rsidR="00CD4BF5" w:rsidRPr="00924801" w:rsidRDefault="00CD4BF5" w:rsidP="00710DCB">
            <w:pPr>
              <w:rPr>
                <w:color w:val="000000"/>
                <w:spacing w:val="-2"/>
                <w:w w:val="109"/>
                <w:szCs w:val="22"/>
              </w:rPr>
            </w:pPr>
            <w:r w:rsidRPr="00924801">
              <w:rPr>
                <w:color w:val="000000"/>
                <w:w w:val="96"/>
                <w:szCs w:val="22"/>
              </w:rPr>
              <w:t xml:space="preserve">Experience in research/ </w:t>
            </w:r>
            <w:r w:rsidRPr="00924801">
              <w:rPr>
                <w:color w:val="000000"/>
                <w:spacing w:val="-2"/>
                <w:w w:val="109"/>
                <w:szCs w:val="22"/>
              </w:rPr>
              <w:t>audit.</w:t>
            </w:r>
          </w:p>
          <w:p w14:paraId="153AD7F3" w14:textId="77777777" w:rsidR="00CD4BF5" w:rsidRPr="00924801" w:rsidRDefault="00CD4BF5" w:rsidP="00710DCB">
            <w:pPr>
              <w:rPr>
                <w:color w:val="000000"/>
                <w:spacing w:val="-2"/>
                <w:w w:val="109"/>
                <w:szCs w:val="22"/>
              </w:rPr>
            </w:pPr>
          </w:p>
          <w:p w14:paraId="0D7B2FB1" w14:textId="77777777" w:rsidR="00CD4BF5" w:rsidRPr="00924801" w:rsidRDefault="00CD4BF5" w:rsidP="00710DCB">
            <w:pPr>
              <w:rPr>
                <w:szCs w:val="22"/>
              </w:rPr>
            </w:pPr>
            <w:r w:rsidRPr="00924801">
              <w:rPr>
                <w:color w:val="000000"/>
                <w:spacing w:val="-2"/>
                <w:w w:val="109"/>
                <w:szCs w:val="22"/>
              </w:rPr>
              <w:t>Experience in strategy development related to clinical practice.</w:t>
            </w:r>
          </w:p>
        </w:tc>
        <w:tc>
          <w:tcPr>
            <w:tcW w:w="1227" w:type="dxa"/>
            <w:tcBorders>
              <w:top w:val="single" w:sz="4" w:space="0" w:color="auto"/>
              <w:left w:val="single" w:sz="4" w:space="0" w:color="auto"/>
              <w:bottom w:val="single" w:sz="4" w:space="0" w:color="auto"/>
              <w:right w:val="single" w:sz="4" w:space="0" w:color="auto"/>
            </w:tcBorders>
          </w:tcPr>
          <w:p w14:paraId="0BFDF5B1" w14:textId="67129FEA" w:rsidR="00CD4BF5" w:rsidRPr="00924801" w:rsidRDefault="00CD4BF5" w:rsidP="00710DCB">
            <w:pPr>
              <w:rPr>
                <w:color w:val="000000"/>
                <w:spacing w:val="-2"/>
                <w:w w:val="101"/>
                <w:szCs w:val="22"/>
              </w:rPr>
            </w:pPr>
            <w:r>
              <w:rPr>
                <w:color w:val="000000"/>
                <w:spacing w:val="-2"/>
                <w:w w:val="101"/>
                <w:szCs w:val="22"/>
              </w:rPr>
              <w:t>Application form and interview</w:t>
            </w:r>
          </w:p>
        </w:tc>
      </w:tr>
      <w:tr w:rsidR="00CD4BF5" w:rsidRPr="00924801" w14:paraId="230F2551" w14:textId="28C74B30" w:rsidTr="00CD4BF5">
        <w:tc>
          <w:tcPr>
            <w:tcW w:w="2318" w:type="dxa"/>
            <w:tcBorders>
              <w:top w:val="single" w:sz="4" w:space="0" w:color="auto"/>
              <w:left w:val="single" w:sz="4" w:space="0" w:color="auto"/>
              <w:bottom w:val="single" w:sz="4" w:space="0" w:color="auto"/>
              <w:right w:val="single" w:sz="4" w:space="0" w:color="auto"/>
            </w:tcBorders>
          </w:tcPr>
          <w:p w14:paraId="62318CA3" w14:textId="77777777" w:rsidR="00CD4BF5" w:rsidRPr="00924801" w:rsidRDefault="00CD4BF5" w:rsidP="00710DCB">
            <w:pPr>
              <w:pStyle w:val="Heading1"/>
              <w:spacing w:after="0"/>
              <w:rPr>
                <w:sz w:val="22"/>
                <w:szCs w:val="22"/>
              </w:rPr>
            </w:pPr>
            <w:r w:rsidRPr="00924801">
              <w:rPr>
                <w:sz w:val="22"/>
                <w:szCs w:val="22"/>
              </w:rPr>
              <w:t>QUALIFICATIONS:</w:t>
            </w:r>
          </w:p>
          <w:p w14:paraId="21ED36D6" w14:textId="77777777" w:rsidR="00CD4BF5" w:rsidRPr="00924801" w:rsidRDefault="00CD4BF5" w:rsidP="00710DCB">
            <w:pPr>
              <w:rPr>
                <w:rFonts w:cs="Arial"/>
                <w:szCs w:val="22"/>
              </w:rPr>
            </w:pPr>
            <w:r w:rsidRPr="00924801">
              <w:rPr>
                <w:rFonts w:cs="Arial"/>
                <w:szCs w:val="22"/>
              </w:rPr>
              <w:t>(Training; Research; Publications)</w:t>
            </w:r>
          </w:p>
          <w:p w14:paraId="245D7F9E" w14:textId="77777777" w:rsidR="00CD4BF5" w:rsidRPr="00924801" w:rsidRDefault="00CD4BF5" w:rsidP="00710DCB">
            <w:pPr>
              <w:rPr>
                <w:rFonts w:cs="Arial"/>
                <w:szCs w:val="22"/>
              </w:rPr>
            </w:pPr>
          </w:p>
        </w:tc>
        <w:tc>
          <w:tcPr>
            <w:tcW w:w="3158" w:type="dxa"/>
            <w:tcBorders>
              <w:top w:val="single" w:sz="4" w:space="0" w:color="auto"/>
              <w:left w:val="single" w:sz="4" w:space="0" w:color="auto"/>
              <w:bottom w:val="single" w:sz="4" w:space="0" w:color="auto"/>
              <w:right w:val="single" w:sz="4" w:space="0" w:color="auto"/>
            </w:tcBorders>
          </w:tcPr>
          <w:p w14:paraId="31F59C01" w14:textId="77777777" w:rsidR="00CD4BF5" w:rsidRPr="00924801" w:rsidRDefault="00CD4BF5" w:rsidP="00710DCB">
            <w:pPr>
              <w:rPr>
                <w:rFonts w:cs="Arial"/>
                <w:color w:val="000000"/>
                <w:w w:val="97"/>
                <w:szCs w:val="22"/>
              </w:rPr>
            </w:pPr>
            <w:r w:rsidRPr="00924801">
              <w:rPr>
                <w:rFonts w:cs="Arial"/>
                <w:color w:val="000000"/>
                <w:w w:val="94"/>
                <w:szCs w:val="22"/>
              </w:rPr>
              <w:t xml:space="preserve">Degree in Speech and </w:t>
            </w:r>
            <w:r w:rsidRPr="00924801">
              <w:rPr>
                <w:rFonts w:cs="Arial"/>
                <w:color w:val="000000"/>
                <w:w w:val="97"/>
                <w:szCs w:val="22"/>
              </w:rPr>
              <w:t xml:space="preserve">Language Therapy </w:t>
            </w:r>
          </w:p>
          <w:p w14:paraId="366E9068" w14:textId="77777777" w:rsidR="00CD4BF5" w:rsidRDefault="00CD4BF5" w:rsidP="00710DCB">
            <w:pPr>
              <w:rPr>
                <w:rFonts w:cs="Arial"/>
                <w:color w:val="000000"/>
                <w:w w:val="99"/>
                <w:szCs w:val="22"/>
              </w:rPr>
            </w:pPr>
          </w:p>
          <w:p w14:paraId="4AA6A88B" w14:textId="77777777" w:rsidR="00CD4BF5" w:rsidRPr="00924801" w:rsidRDefault="00CD4BF5" w:rsidP="00710DCB">
            <w:pPr>
              <w:rPr>
                <w:rFonts w:cs="Arial"/>
                <w:color w:val="000000"/>
                <w:spacing w:val="-1"/>
                <w:w w:val="99"/>
                <w:szCs w:val="22"/>
              </w:rPr>
            </w:pPr>
            <w:r w:rsidRPr="00924801">
              <w:rPr>
                <w:rFonts w:cs="Arial"/>
                <w:color w:val="000000"/>
                <w:w w:val="99"/>
                <w:szCs w:val="22"/>
              </w:rPr>
              <w:t xml:space="preserve">Health Professions Council </w:t>
            </w:r>
            <w:r w:rsidRPr="00924801">
              <w:rPr>
                <w:rFonts w:cs="Arial"/>
                <w:color w:val="000000"/>
                <w:spacing w:val="-1"/>
                <w:w w:val="99"/>
                <w:szCs w:val="22"/>
              </w:rPr>
              <w:t>[HPC) registration</w:t>
            </w:r>
          </w:p>
          <w:p w14:paraId="769CB043" w14:textId="77777777" w:rsidR="00CD4BF5" w:rsidRDefault="00CD4BF5" w:rsidP="00710DCB">
            <w:pPr>
              <w:rPr>
                <w:rFonts w:cs="Arial"/>
                <w:color w:val="000000"/>
                <w:w w:val="95"/>
                <w:szCs w:val="22"/>
              </w:rPr>
            </w:pPr>
          </w:p>
          <w:p w14:paraId="7422FD63" w14:textId="77777777" w:rsidR="00CD4BF5" w:rsidRPr="00924801" w:rsidRDefault="00CD4BF5" w:rsidP="00710DCB">
            <w:pPr>
              <w:rPr>
                <w:rFonts w:cs="Arial"/>
                <w:color w:val="000000"/>
                <w:w w:val="95"/>
                <w:szCs w:val="22"/>
              </w:rPr>
            </w:pPr>
            <w:r w:rsidRPr="00924801">
              <w:rPr>
                <w:rFonts w:cs="Arial"/>
                <w:color w:val="000000"/>
                <w:w w:val="95"/>
                <w:szCs w:val="22"/>
              </w:rPr>
              <w:t>Membership of RCSLT</w:t>
            </w:r>
          </w:p>
          <w:p w14:paraId="7D5FB353" w14:textId="77777777" w:rsidR="00CD4BF5" w:rsidRDefault="00CD4BF5" w:rsidP="00710DCB">
            <w:pPr>
              <w:rPr>
                <w:rFonts w:cs="Arial"/>
                <w:spacing w:val="-2"/>
                <w:w w:val="103"/>
                <w:szCs w:val="22"/>
              </w:rPr>
            </w:pPr>
          </w:p>
          <w:p w14:paraId="5B6F7ACD" w14:textId="77777777" w:rsidR="00CD4BF5" w:rsidRDefault="00CD4BF5" w:rsidP="00710DCB">
            <w:pPr>
              <w:rPr>
                <w:rFonts w:cs="Arial"/>
                <w:spacing w:val="-2"/>
                <w:w w:val="103"/>
                <w:szCs w:val="22"/>
              </w:rPr>
            </w:pPr>
            <w:r w:rsidRPr="00924801">
              <w:rPr>
                <w:rFonts w:cs="Arial"/>
                <w:spacing w:val="-2"/>
                <w:w w:val="103"/>
                <w:szCs w:val="22"/>
              </w:rPr>
              <w:t xml:space="preserve">Postgraduate study/qualification </w:t>
            </w:r>
            <w:r>
              <w:rPr>
                <w:rFonts w:cs="Arial"/>
                <w:spacing w:val="-2"/>
                <w:w w:val="103"/>
                <w:szCs w:val="22"/>
              </w:rPr>
              <w:t>or equivalent experience in hearing loss. For example phonology assessment, working with deaf people, specific conditions associated with deafness such as auditory neuropathy, amplification devices, sign language</w:t>
            </w:r>
          </w:p>
          <w:p w14:paraId="5EC6E9DB" w14:textId="77777777" w:rsidR="00CD4BF5" w:rsidRPr="00924801" w:rsidRDefault="00CD4BF5" w:rsidP="00710DCB">
            <w:pPr>
              <w:rPr>
                <w:rFonts w:cs="Arial"/>
                <w:szCs w:val="22"/>
              </w:rPr>
            </w:pPr>
          </w:p>
        </w:tc>
        <w:tc>
          <w:tcPr>
            <w:tcW w:w="2539" w:type="dxa"/>
            <w:tcBorders>
              <w:top w:val="single" w:sz="4" w:space="0" w:color="auto"/>
              <w:left w:val="single" w:sz="4" w:space="0" w:color="auto"/>
              <w:bottom w:val="single" w:sz="4" w:space="0" w:color="auto"/>
              <w:right w:val="single" w:sz="4" w:space="0" w:color="auto"/>
            </w:tcBorders>
          </w:tcPr>
          <w:p w14:paraId="1006592B" w14:textId="1EFAB55F" w:rsidR="00CD4BF5" w:rsidRDefault="00CD4BF5" w:rsidP="00710DCB">
            <w:pPr>
              <w:rPr>
                <w:rFonts w:cs="Arial"/>
                <w:szCs w:val="22"/>
              </w:rPr>
            </w:pPr>
            <w:r>
              <w:rPr>
                <w:rFonts w:cs="Arial"/>
                <w:szCs w:val="22"/>
              </w:rPr>
              <w:lastRenderedPageBreak/>
              <w:t>British Sign Language to Level 1</w:t>
            </w:r>
          </w:p>
          <w:p w14:paraId="5E977B98" w14:textId="77777777" w:rsidR="00CD4BF5" w:rsidRDefault="00CD4BF5" w:rsidP="00710DCB">
            <w:pPr>
              <w:rPr>
                <w:rFonts w:cs="Arial"/>
                <w:szCs w:val="22"/>
              </w:rPr>
            </w:pPr>
          </w:p>
          <w:p w14:paraId="746D602A" w14:textId="77777777" w:rsidR="00CD4BF5" w:rsidRPr="00924801" w:rsidRDefault="00CD4BF5" w:rsidP="00710DCB">
            <w:pPr>
              <w:rPr>
                <w:rFonts w:cs="Arial"/>
                <w:szCs w:val="22"/>
              </w:rPr>
            </w:pPr>
            <w:r>
              <w:rPr>
                <w:rFonts w:cs="Arial"/>
                <w:szCs w:val="22"/>
              </w:rPr>
              <w:t>Makaton Sign Language up to Level 4 (Enhancement)</w:t>
            </w:r>
          </w:p>
        </w:tc>
        <w:tc>
          <w:tcPr>
            <w:tcW w:w="1227" w:type="dxa"/>
            <w:tcBorders>
              <w:top w:val="single" w:sz="4" w:space="0" w:color="auto"/>
              <w:left w:val="single" w:sz="4" w:space="0" w:color="auto"/>
              <w:bottom w:val="single" w:sz="4" w:space="0" w:color="auto"/>
              <w:right w:val="single" w:sz="4" w:space="0" w:color="auto"/>
            </w:tcBorders>
          </w:tcPr>
          <w:p w14:paraId="009C39A6" w14:textId="2763E76F" w:rsidR="00CD4BF5" w:rsidRDefault="00CD4BF5" w:rsidP="00710DCB">
            <w:pPr>
              <w:rPr>
                <w:rFonts w:cs="Arial"/>
                <w:szCs w:val="22"/>
              </w:rPr>
            </w:pPr>
            <w:r>
              <w:rPr>
                <w:color w:val="000000"/>
                <w:spacing w:val="-2"/>
                <w:w w:val="101"/>
                <w:szCs w:val="22"/>
              </w:rPr>
              <w:t>Application form and interview</w:t>
            </w:r>
          </w:p>
        </w:tc>
      </w:tr>
      <w:tr w:rsidR="00CD4BF5" w:rsidRPr="00924801" w14:paraId="36F0E7B7" w14:textId="045C342E" w:rsidTr="00CD4BF5">
        <w:tc>
          <w:tcPr>
            <w:tcW w:w="2318" w:type="dxa"/>
            <w:tcBorders>
              <w:top w:val="single" w:sz="4" w:space="0" w:color="auto"/>
              <w:left w:val="single" w:sz="4" w:space="0" w:color="auto"/>
              <w:bottom w:val="single" w:sz="4" w:space="0" w:color="auto"/>
              <w:right w:val="single" w:sz="4" w:space="0" w:color="auto"/>
            </w:tcBorders>
          </w:tcPr>
          <w:p w14:paraId="17176A39" w14:textId="77777777" w:rsidR="00CD4BF5" w:rsidRPr="00924801" w:rsidRDefault="00CD4BF5" w:rsidP="00710DCB">
            <w:pPr>
              <w:pStyle w:val="Heading1"/>
              <w:spacing w:after="0"/>
              <w:rPr>
                <w:sz w:val="22"/>
                <w:szCs w:val="22"/>
              </w:rPr>
            </w:pPr>
            <w:r w:rsidRPr="00924801">
              <w:rPr>
                <w:sz w:val="22"/>
                <w:szCs w:val="22"/>
              </w:rPr>
              <w:lastRenderedPageBreak/>
              <w:t>KNOWLEDGE &amp; SKILLS</w:t>
            </w:r>
          </w:p>
          <w:p w14:paraId="7852BF5B" w14:textId="77777777" w:rsidR="00CD4BF5" w:rsidRPr="00924801" w:rsidRDefault="00CD4BF5" w:rsidP="00710DCB">
            <w:pPr>
              <w:rPr>
                <w:rFonts w:cs="Arial"/>
                <w:szCs w:val="22"/>
              </w:rPr>
            </w:pPr>
          </w:p>
        </w:tc>
        <w:tc>
          <w:tcPr>
            <w:tcW w:w="3158" w:type="dxa"/>
            <w:tcBorders>
              <w:top w:val="single" w:sz="4" w:space="0" w:color="auto"/>
              <w:left w:val="single" w:sz="4" w:space="0" w:color="auto"/>
              <w:bottom w:val="single" w:sz="4" w:space="0" w:color="auto"/>
              <w:right w:val="single" w:sz="4" w:space="0" w:color="auto"/>
            </w:tcBorders>
          </w:tcPr>
          <w:p w14:paraId="1983FE2C" w14:textId="77777777" w:rsidR="00CD4BF5" w:rsidRDefault="00CD4BF5" w:rsidP="00710DCB">
            <w:pPr>
              <w:shd w:val="clear" w:color="auto" w:fill="FFFFFF"/>
              <w:rPr>
                <w:rFonts w:cs="Arial"/>
                <w:color w:val="000000"/>
                <w:spacing w:val="-2"/>
                <w:w w:val="103"/>
                <w:szCs w:val="22"/>
              </w:rPr>
            </w:pPr>
            <w:r w:rsidRPr="00924801">
              <w:rPr>
                <w:rFonts w:cs="Arial"/>
                <w:color w:val="000000"/>
                <w:szCs w:val="22"/>
              </w:rPr>
              <w:t xml:space="preserve">Specialist knowledge and application of </w:t>
            </w:r>
            <w:r>
              <w:rPr>
                <w:rFonts w:cs="Arial"/>
                <w:color w:val="000000"/>
                <w:szCs w:val="22"/>
              </w:rPr>
              <w:t xml:space="preserve">different types of hearing loss, aetiology and possible implications for individuals. Audiological tests available and understanding of the findings and implications for the individual. Acoustic phonetics to inform intervention and management decisions. </w:t>
            </w:r>
            <w:r w:rsidRPr="00924801">
              <w:rPr>
                <w:rFonts w:cs="Arial"/>
                <w:color w:val="000000"/>
                <w:spacing w:val="-2"/>
                <w:w w:val="103"/>
                <w:szCs w:val="22"/>
              </w:rPr>
              <w:t xml:space="preserve"> </w:t>
            </w:r>
          </w:p>
          <w:p w14:paraId="77BA980D" w14:textId="77777777" w:rsidR="00CD4BF5" w:rsidRDefault="00CD4BF5" w:rsidP="00710DCB">
            <w:pPr>
              <w:shd w:val="clear" w:color="auto" w:fill="FFFFFF"/>
              <w:rPr>
                <w:rFonts w:cs="Arial"/>
                <w:color w:val="000000"/>
                <w:spacing w:val="-2"/>
                <w:w w:val="103"/>
                <w:szCs w:val="22"/>
              </w:rPr>
            </w:pPr>
          </w:p>
          <w:p w14:paraId="4C682228" w14:textId="77777777" w:rsidR="00CD4BF5" w:rsidRDefault="00CD4BF5" w:rsidP="00710DCB">
            <w:pPr>
              <w:rPr>
                <w:rFonts w:cs="Arial"/>
                <w:color w:val="000000"/>
                <w:spacing w:val="-2"/>
                <w:w w:val="103"/>
                <w:szCs w:val="22"/>
              </w:rPr>
            </w:pPr>
            <w:r>
              <w:rPr>
                <w:rFonts w:cs="Arial"/>
                <w:color w:val="000000"/>
                <w:spacing w:val="-2"/>
                <w:w w:val="103"/>
                <w:szCs w:val="22"/>
              </w:rPr>
              <w:t>Knowledge of:</w:t>
            </w:r>
          </w:p>
          <w:p w14:paraId="51F3470D" w14:textId="77777777" w:rsidR="00CD4BF5" w:rsidRDefault="00CD4BF5" w:rsidP="00AD2DCC">
            <w:pPr>
              <w:pStyle w:val="ListParagraph"/>
              <w:numPr>
                <w:ilvl w:val="0"/>
                <w:numId w:val="1"/>
              </w:numPr>
              <w:rPr>
                <w:rFonts w:cs="Arial"/>
                <w:color w:val="000000"/>
                <w:spacing w:val="-2"/>
                <w:w w:val="103"/>
                <w:szCs w:val="22"/>
              </w:rPr>
            </w:pPr>
            <w:r w:rsidRPr="00AD2DCC">
              <w:rPr>
                <w:rFonts w:cs="Arial"/>
                <w:color w:val="000000"/>
                <w:spacing w:val="-2"/>
                <w:w w:val="103"/>
                <w:szCs w:val="22"/>
              </w:rPr>
              <w:t xml:space="preserve">spoken language, sign ( British Sign language) , sign supported English and bilingualism </w:t>
            </w:r>
          </w:p>
          <w:p w14:paraId="7CF9947C" w14:textId="77777777" w:rsidR="00CD4BF5" w:rsidRDefault="00CD4BF5" w:rsidP="00AD2DCC">
            <w:pPr>
              <w:pStyle w:val="ListParagraph"/>
              <w:numPr>
                <w:ilvl w:val="0"/>
                <w:numId w:val="1"/>
              </w:numPr>
              <w:rPr>
                <w:rFonts w:cs="Arial"/>
                <w:color w:val="000000"/>
                <w:spacing w:val="-2"/>
                <w:w w:val="103"/>
                <w:szCs w:val="22"/>
              </w:rPr>
            </w:pPr>
            <w:r>
              <w:rPr>
                <w:rFonts w:cs="Arial"/>
                <w:color w:val="000000"/>
                <w:spacing w:val="-2"/>
                <w:w w:val="103"/>
                <w:szCs w:val="22"/>
              </w:rPr>
              <w:t>Augmentative communication systems such as cued speech, sign supported English, signed English</w:t>
            </w:r>
          </w:p>
          <w:p w14:paraId="0DC2664A" w14:textId="77777777" w:rsidR="00CD4BF5" w:rsidRDefault="00CD4BF5" w:rsidP="00AD2DCC">
            <w:pPr>
              <w:pStyle w:val="ListParagraph"/>
              <w:numPr>
                <w:ilvl w:val="0"/>
                <w:numId w:val="1"/>
              </w:numPr>
              <w:rPr>
                <w:rFonts w:cs="Arial"/>
                <w:color w:val="000000"/>
                <w:spacing w:val="-2"/>
                <w:w w:val="103"/>
                <w:szCs w:val="22"/>
              </w:rPr>
            </w:pPr>
            <w:r>
              <w:rPr>
                <w:rFonts w:cs="Arial"/>
                <w:color w:val="000000"/>
                <w:spacing w:val="-2"/>
                <w:w w:val="103"/>
                <w:szCs w:val="22"/>
              </w:rPr>
              <w:t>Communication strategies that support communication between deaf and hearing people.</w:t>
            </w:r>
          </w:p>
          <w:p w14:paraId="75DAE77E" w14:textId="77777777" w:rsidR="00CD4BF5" w:rsidRDefault="00CD4BF5" w:rsidP="00AD2DCC">
            <w:pPr>
              <w:pStyle w:val="ListParagraph"/>
              <w:numPr>
                <w:ilvl w:val="0"/>
                <w:numId w:val="1"/>
              </w:numPr>
              <w:rPr>
                <w:rFonts w:cs="Arial"/>
                <w:color w:val="000000"/>
                <w:spacing w:val="-2"/>
                <w:w w:val="103"/>
                <w:szCs w:val="22"/>
              </w:rPr>
            </w:pPr>
            <w:r>
              <w:rPr>
                <w:rFonts w:cs="Arial"/>
                <w:color w:val="000000"/>
                <w:spacing w:val="-2"/>
                <w:w w:val="103"/>
                <w:szCs w:val="22"/>
              </w:rPr>
              <w:t>Typical developmental patterns for deaf children</w:t>
            </w:r>
          </w:p>
          <w:p w14:paraId="69EFB8F8" w14:textId="77777777" w:rsidR="00CD4BF5" w:rsidRDefault="00CD4BF5" w:rsidP="00AD2DCC">
            <w:pPr>
              <w:pStyle w:val="ListParagraph"/>
              <w:numPr>
                <w:ilvl w:val="0"/>
                <w:numId w:val="1"/>
              </w:numPr>
              <w:rPr>
                <w:rFonts w:cs="Arial"/>
                <w:color w:val="000000"/>
                <w:spacing w:val="-2"/>
                <w:w w:val="103"/>
                <w:szCs w:val="22"/>
              </w:rPr>
            </w:pPr>
            <w:r>
              <w:rPr>
                <w:rFonts w:cs="Arial"/>
                <w:color w:val="000000"/>
                <w:spacing w:val="-2"/>
                <w:w w:val="103"/>
                <w:szCs w:val="22"/>
              </w:rPr>
              <w:t>Deaf culture</w:t>
            </w:r>
          </w:p>
          <w:p w14:paraId="2C97E706" w14:textId="77777777" w:rsidR="00CD4BF5" w:rsidRPr="00AD2DCC" w:rsidRDefault="00CD4BF5" w:rsidP="00AD2DCC">
            <w:pPr>
              <w:pStyle w:val="ListParagraph"/>
              <w:numPr>
                <w:ilvl w:val="0"/>
                <w:numId w:val="1"/>
              </w:numPr>
              <w:rPr>
                <w:rFonts w:cs="Arial"/>
                <w:color w:val="000000"/>
                <w:spacing w:val="-2"/>
                <w:w w:val="103"/>
                <w:szCs w:val="22"/>
              </w:rPr>
            </w:pPr>
            <w:r>
              <w:rPr>
                <w:rFonts w:cs="Arial"/>
                <w:color w:val="000000"/>
                <w:spacing w:val="-2"/>
                <w:w w:val="103"/>
                <w:szCs w:val="22"/>
              </w:rPr>
              <w:t xml:space="preserve">Current research evidence for this population and its application for service improvement. </w:t>
            </w:r>
          </w:p>
          <w:p w14:paraId="5A869E5B" w14:textId="77777777" w:rsidR="00CD4BF5" w:rsidRPr="00924801" w:rsidRDefault="00CD4BF5" w:rsidP="00710DCB">
            <w:pPr>
              <w:rPr>
                <w:rFonts w:cs="Arial"/>
                <w:color w:val="000000"/>
                <w:spacing w:val="-2"/>
                <w:szCs w:val="22"/>
              </w:rPr>
            </w:pPr>
          </w:p>
          <w:p w14:paraId="7975E657" w14:textId="77777777" w:rsidR="00CD4BF5" w:rsidRPr="00924801" w:rsidRDefault="00CD4BF5" w:rsidP="00710DCB">
            <w:pPr>
              <w:rPr>
                <w:rFonts w:cs="Arial"/>
                <w:color w:val="000000"/>
                <w:w w:val="101"/>
                <w:szCs w:val="22"/>
              </w:rPr>
            </w:pPr>
            <w:r w:rsidRPr="00924801">
              <w:rPr>
                <w:rFonts w:cs="Arial"/>
                <w:color w:val="000000"/>
                <w:w w:val="97"/>
                <w:szCs w:val="22"/>
              </w:rPr>
              <w:t xml:space="preserve">Knowledge of relevant </w:t>
            </w:r>
            <w:r w:rsidRPr="00924801">
              <w:rPr>
                <w:rFonts w:cs="Arial"/>
                <w:color w:val="000000"/>
                <w:w w:val="101"/>
                <w:szCs w:val="22"/>
              </w:rPr>
              <w:t>legislation.</w:t>
            </w:r>
          </w:p>
        </w:tc>
        <w:tc>
          <w:tcPr>
            <w:tcW w:w="2539" w:type="dxa"/>
            <w:tcBorders>
              <w:top w:val="single" w:sz="4" w:space="0" w:color="auto"/>
              <w:left w:val="single" w:sz="4" w:space="0" w:color="auto"/>
              <w:bottom w:val="single" w:sz="4" w:space="0" w:color="auto"/>
              <w:right w:val="single" w:sz="4" w:space="0" w:color="auto"/>
            </w:tcBorders>
          </w:tcPr>
          <w:p w14:paraId="3B129D47" w14:textId="77777777" w:rsidR="00CD4BF5" w:rsidRDefault="00CD4BF5" w:rsidP="00710DCB">
            <w:pPr>
              <w:rPr>
                <w:rFonts w:cs="Arial"/>
                <w:szCs w:val="22"/>
              </w:rPr>
            </w:pPr>
            <w:r w:rsidRPr="00924801">
              <w:rPr>
                <w:rFonts w:cs="Arial"/>
                <w:szCs w:val="22"/>
              </w:rPr>
              <w:t>Awareness of link between strategic and operational planning and delivery of services</w:t>
            </w:r>
          </w:p>
          <w:p w14:paraId="5428886E" w14:textId="77777777" w:rsidR="00CD4BF5" w:rsidRDefault="00CD4BF5" w:rsidP="00710DCB">
            <w:pPr>
              <w:rPr>
                <w:rFonts w:cs="Arial"/>
                <w:szCs w:val="22"/>
              </w:rPr>
            </w:pPr>
          </w:p>
          <w:p w14:paraId="3206C36C" w14:textId="77777777" w:rsidR="00CD4BF5" w:rsidRDefault="00CD4BF5" w:rsidP="00710DCB">
            <w:pPr>
              <w:rPr>
                <w:rFonts w:cs="Arial"/>
                <w:szCs w:val="22"/>
              </w:rPr>
            </w:pPr>
            <w:r>
              <w:rPr>
                <w:rFonts w:cs="Arial"/>
                <w:szCs w:val="22"/>
              </w:rPr>
              <w:t>Knowledge of :</w:t>
            </w:r>
          </w:p>
          <w:p w14:paraId="4883C972" w14:textId="77777777" w:rsidR="00CD4BF5" w:rsidRDefault="00CD4BF5" w:rsidP="00AD2DCC">
            <w:pPr>
              <w:pStyle w:val="ListParagraph"/>
              <w:numPr>
                <w:ilvl w:val="0"/>
                <w:numId w:val="2"/>
              </w:numPr>
              <w:rPr>
                <w:rFonts w:cs="Arial"/>
                <w:szCs w:val="22"/>
              </w:rPr>
            </w:pPr>
            <w:r>
              <w:rPr>
                <w:rFonts w:cs="Arial"/>
                <w:szCs w:val="22"/>
              </w:rPr>
              <w:t>How hearing technology works and the effects of environmental noise on hearing/ listening</w:t>
            </w:r>
          </w:p>
          <w:p w14:paraId="02D3F1A2" w14:textId="77777777" w:rsidR="00CD4BF5" w:rsidRDefault="00CD4BF5" w:rsidP="00AD2DCC">
            <w:pPr>
              <w:pStyle w:val="ListParagraph"/>
              <w:numPr>
                <w:ilvl w:val="0"/>
                <w:numId w:val="2"/>
              </w:numPr>
              <w:rPr>
                <w:rFonts w:cs="Arial"/>
                <w:szCs w:val="22"/>
              </w:rPr>
            </w:pPr>
            <w:r>
              <w:rPr>
                <w:rFonts w:cs="Arial"/>
                <w:szCs w:val="22"/>
              </w:rPr>
              <w:t>Non-verbal communication including use of sign</w:t>
            </w:r>
          </w:p>
          <w:p w14:paraId="17E997D0" w14:textId="77777777" w:rsidR="00CD4BF5" w:rsidRDefault="00CD4BF5" w:rsidP="00AD2DCC">
            <w:pPr>
              <w:pStyle w:val="ListParagraph"/>
              <w:numPr>
                <w:ilvl w:val="0"/>
                <w:numId w:val="2"/>
              </w:numPr>
              <w:rPr>
                <w:rFonts w:cs="Arial"/>
                <w:szCs w:val="22"/>
              </w:rPr>
            </w:pPr>
            <w:r>
              <w:rPr>
                <w:rFonts w:cs="Arial"/>
                <w:szCs w:val="22"/>
              </w:rPr>
              <w:t>Practical management of hearing technology</w:t>
            </w:r>
          </w:p>
          <w:p w14:paraId="7771D6BC" w14:textId="77777777" w:rsidR="00CD4BF5" w:rsidRDefault="00CD4BF5" w:rsidP="00AD2DCC">
            <w:pPr>
              <w:pStyle w:val="ListParagraph"/>
              <w:numPr>
                <w:ilvl w:val="0"/>
                <w:numId w:val="2"/>
              </w:numPr>
              <w:rPr>
                <w:rFonts w:cs="Arial"/>
                <w:szCs w:val="22"/>
              </w:rPr>
            </w:pPr>
            <w:r>
              <w:rPr>
                <w:rFonts w:cs="Arial"/>
                <w:szCs w:val="22"/>
              </w:rPr>
              <w:t>Practical logistics of adapting speech and language assessments for children with a hearing loss</w:t>
            </w:r>
          </w:p>
          <w:p w14:paraId="6547E8C6" w14:textId="77777777" w:rsidR="00CD4BF5" w:rsidRDefault="00CD4BF5" w:rsidP="00AD2DCC">
            <w:pPr>
              <w:pStyle w:val="ListParagraph"/>
              <w:numPr>
                <w:ilvl w:val="0"/>
                <w:numId w:val="2"/>
              </w:numPr>
              <w:rPr>
                <w:rFonts w:cs="Arial"/>
                <w:szCs w:val="22"/>
              </w:rPr>
            </w:pPr>
            <w:r>
              <w:rPr>
                <w:rFonts w:cs="Arial"/>
                <w:szCs w:val="22"/>
              </w:rPr>
              <w:t>Use of family- centred interventions techniques.</w:t>
            </w:r>
          </w:p>
          <w:p w14:paraId="12B9E526" w14:textId="77777777" w:rsidR="00CD4BF5" w:rsidRDefault="00CD4BF5" w:rsidP="00AD2DCC">
            <w:pPr>
              <w:pStyle w:val="ListParagraph"/>
              <w:numPr>
                <w:ilvl w:val="0"/>
                <w:numId w:val="2"/>
              </w:numPr>
              <w:rPr>
                <w:rFonts w:cs="Arial"/>
                <w:szCs w:val="22"/>
              </w:rPr>
            </w:pPr>
            <w:r>
              <w:rPr>
                <w:rFonts w:cs="Arial"/>
                <w:szCs w:val="22"/>
              </w:rPr>
              <w:t>Differential diagnosis between deafness and language impairment, autistic spectrum disorder, auditory neuropathy</w:t>
            </w:r>
          </w:p>
          <w:p w14:paraId="0098A7E5" w14:textId="77777777" w:rsidR="00CD4BF5" w:rsidRDefault="00CD4BF5" w:rsidP="00AD2DCC">
            <w:pPr>
              <w:pStyle w:val="ListParagraph"/>
              <w:numPr>
                <w:ilvl w:val="0"/>
                <w:numId w:val="2"/>
              </w:numPr>
              <w:rPr>
                <w:rFonts w:cs="Arial"/>
                <w:szCs w:val="22"/>
              </w:rPr>
            </w:pPr>
            <w:r>
              <w:rPr>
                <w:rFonts w:cs="Arial"/>
                <w:szCs w:val="22"/>
              </w:rPr>
              <w:t xml:space="preserve">Adaptation of speech and language expectations </w:t>
            </w:r>
            <w:r>
              <w:rPr>
                <w:rFonts w:cs="Arial"/>
                <w:szCs w:val="22"/>
              </w:rPr>
              <w:lastRenderedPageBreak/>
              <w:t>and objectives in the context of type and degree of hearing loss</w:t>
            </w:r>
          </w:p>
          <w:p w14:paraId="7B6D9B6F" w14:textId="77777777" w:rsidR="00CD4BF5" w:rsidRPr="00AD2DCC" w:rsidRDefault="00CD4BF5" w:rsidP="00AD2DCC">
            <w:pPr>
              <w:pStyle w:val="ListParagraph"/>
              <w:numPr>
                <w:ilvl w:val="0"/>
                <w:numId w:val="2"/>
              </w:numPr>
              <w:rPr>
                <w:rFonts w:cs="Arial"/>
                <w:szCs w:val="22"/>
              </w:rPr>
            </w:pPr>
            <w:r>
              <w:rPr>
                <w:rFonts w:cs="Arial"/>
                <w:szCs w:val="22"/>
              </w:rPr>
              <w:t xml:space="preserve">Advanced transcription of atypical speech patterns. </w:t>
            </w:r>
          </w:p>
        </w:tc>
        <w:tc>
          <w:tcPr>
            <w:tcW w:w="1227" w:type="dxa"/>
            <w:tcBorders>
              <w:top w:val="single" w:sz="4" w:space="0" w:color="auto"/>
              <w:left w:val="single" w:sz="4" w:space="0" w:color="auto"/>
              <w:bottom w:val="single" w:sz="4" w:space="0" w:color="auto"/>
              <w:right w:val="single" w:sz="4" w:space="0" w:color="auto"/>
            </w:tcBorders>
          </w:tcPr>
          <w:p w14:paraId="604A75E4" w14:textId="3F37F357" w:rsidR="00CD4BF5" w:rsidRPr="00924801" w:rsidRDefault="00CD4BF5" w:rsidP="00710DCB">
            <w:pPr>
              <w:rPr>
                <w:rFonts w:cs="Arial"/>
                <w:szCs w:val="22"/>
              </w:rPr>
            </w:pPr>
            <w:r>
              <w:rPr>
                <w:color w:val="000000"/>
                <w:spacing w:val="-2"/>
                <w:w w:val="101"/>
                <w:szCs w:val="22"/>
              </w:rPr>
              <w:lastRenderedPageBreak/>
              <w:t>Application form and interview</w:t>
            </w:r>
          </w:p>
        </w:tc>
      </w:tr>
      <w:tr w:rsidR="00CD4BF5" w:rsidRPr="00924801" w14:paraId="6317778E" w14:textId="2399A579" w:rsidTr="00CD4BF5">
        <w:tc>
          <w:tcPr>
            <w:tcW w:w="2318" w:type="dxa"/>
            <w:tcBorders>
              <w:top w:val="single" w:sz="4" w:space="0" w:color="auto"/>
              <w:left w:val="single" w:sz="4" w:space="0" w:color="auto"/>
              <w:bottom w:val="single" w:sz="4" w:space="0" w:color="auto"/>
              <w:right w:val="single" w:sz="4" w:space="0" w:color="auto"/>
            </w:tcBorders>
          </w:tcPr>
          <w:p w14:paraId="52F61632" w14:textId="77777777" w:rsidR="00CD4BF5" w:rsidRPr="00924801" w:rsidRDefault="00CD4BF5" w:rsidP="00710DCB">
            <w:pPr>
              <w:pStyle w:val="Heading1"/>
              <w:spacing w:after="0"/>
              <w:rPr>
                <w:sz w:val="22"/>
                <w:szCs w:val="22"/>
              </w:rPr>
            </w:pPr>
            <w:r w:rsidRPr="00924801">
              <w:rPr>
                <w:sz w:val="22"/>
                <w:szCs w:val="22"/>
              </w:rPr>
              <w:t>PERSONAL QUALITIES:</w:t>
            </w:r>
          </w:p>
        </w:tc>
        <w:tc>
          <w:tcPr>
            <w:tcW w:w="3158" w:type="dxa"/>
            <w:tcBorders>
              <w:top w:val="single" w:sz="4" w:space="0" w:color="auto"/>
              <w:left w:val="single" w:sz="4" w:space="0" w:color="auto"/>
              <w:bottom w:val="single" w:sz="4" w:space="0" w:color="auto"/>
              <w:right w:val="single" w:sz="4" w:space="0" w:color="auto"/>
            </w:tcBorders>
          </w:tcPr>
          <w:p w14:paraId="45BE5747" w14:textId="77777777" w:rsidR="00CD4BF5" w:rsidRPr="00924801" w:rsidRDefault="00CD4BF5" w:rsidP="00710DCB">
            <w:pPr>
              <w:shd w:val="clear" w:color="auto" w:fill="FFFFFF"/>
              <w:rPr>
                <w:rFonts w:cs="Arial"/>
                <w:color w:val="000000"/>
                <w:spacing w:val="-2"/>
                <w:w w:val="111"/>
                <w:szCs w:val="22"/>
              </w:rPr>
            </w:pPr>
            <w:r w:rsidRPr="00924801">
              <w:rPr>
                <w:rFonts w:cs="Arial"/>
                <w:color w:val="000000"/>
                <w:w w:val="101"/>
                <w:szCs w:val="22"/>
              </w:rPr>
              <w:t>Excellent communication</w:t>
            </w:r>
            <w:r>
              <w:rPr>
                <w:rFonts w:cs="Arial"/>
                <w:color w:val="000000"/>
                <w:w w:val="101"/>
                <w:szCs w:val="22"/>
              </w:rPr>
              <w:t xml:space="preserve"> </w:t>
            </w:r>
            <w:r w:rsidRPr="00924801">
              <w:rPr>
                <w:rFonts w:cs="Arial"/>
                <w:color w:val="000000"/>
                <w:spacing w:val="-2"/>
                <w:w w:val="111"/>
                <w:szCs w:val="22"/>
              </w:rPr>
              <w:t>skills.</w:t>
            </w:r>
          </w:p>
          <w:p w14:paraId="322713D6" w14:textId="77777777" w:rsidR="00CD4BF5" w:rsidRDefault="00CD4BF5" w:rsidP="00710DCB">
            <w:pPr>
              <w:shd w:val="clear" w:color="auto" w:fill="FFFFFF"/>
              <w:rPr>
                <w:rFonts w:cs="Arial"/>
                <w:color w:val="000000"/>
                <w:spacing w:val="-1"/>
                <w:w w:val="104"/>
                <w:szCs w:val="22"/>
              </w:rPr>
            </w:pPr>
          </w:p>
          <w:p w14:paraId="2030D8CD" w14:textId="77777777" w:rsidR="00CD4BF5" w:rsidRPr="00924801" w:rsidRDefault="00CD4BF5" w:rsidP="00710DCB">
            <w:pPr>
              <w:shd w:val="clear" w:color="auto" w:fill="FFFFFF"/>
              <w:rPr>
                <w:rFonts w:cs="Arial"/>
                <w:color w:val="000000"/>
                <w:spacing w:val="-2"/>
                <w:w w:val="104"/>
                <w:szCs w:val="22"/>
              </w:rPr>
            </w:pPr>
            <w:r w:rsidRPr="00924801">
              <w:rPr>
                <w:rFonts w:cs="Arial"/>
                <w:color w:val="000000"/>
                <w:spacing w:val="-1"/>
                <w:w w:val="104"/>
                <w:szCs w:val="22"/>
              </w:rPr>
              <w:t>Ability to work effectively in</w:t>
            </w:r>
            <w:r>
              <w:rPr>
                <w:rFonts w:cs="Arial"/>
                <w:color w:val="000000"/>
                <w:spacing w:val="-1"/>
                <w:w w:val="104"/>
                <w:szCs w:val="22"/>
              </w:rPr>
              <w:t xml:space="preserve"> </w:t>
            </w:r>
            <w:r w:rsidRPr="00924801">
              <w:rPr>
                <w:rFonts w:cs="Arial"/>
                <w:color w:val="000000"/>
                <w:spacing w:val="-2"/>
                <w:w w:val="104"/>
                <w:szCs w:val="22"/>
              </w:rPr>
              <w:t>a multi agency team.</w:t>
            </w:r>
          </w:p>
          <w:p w14:paraId="0CFA0512" w14:textId="77777777" w:rsidR="00CD4BF5" w:rsidRDefault="00CD4BF5" w:rsidP="00710DCB">
            <w:pPr>
              <w:shd w:val="clear" w:color="auto" w:fill="FFFFFF"/>
              <w:ind w:left="10"/>
              <w:rPr>
                <w:rFonts w:cs="Arial"/>
                <w:color w:val="000000"/>
                <w:szCs w:val="22"/>
              </w:rPr>
            </w:pPr>
          </w:p>
          <w:p w14:paraId="6EA139C9" w14:textId="77777777" w:rsidR="00CD4BF5" w:rsidRPr="00924801" w:rsidRDefault="00CD4BF5" w:rsidP="00710DCB">
            <w:pPr>
              <w:shd w:val="clear" w:color="auto" w:fill="FFFFFF"/>
              <w:ind w:left="10"/>
              <w:rPr>
                <w:rFonts w:cs="Arial"/>
                <w:color w:val="000000"/>
                <w:spacing w:val="-2"/>
                <w:w w:val="101"/>
                <w:szCs w:val="22"/>
              </w:rPr>
            </w:pPr>
            <w:r w:rsidRPr="00924801">
              <w:rPr>
                <w:rFonts w:cs="Arial"/>
                <w:color w:val="000000"/>
                <w:szCs w:val="22"/>
              </w:rPr>
              <w:t>Flexible and adaptable</w:t>
            </w:r>
            <w:r>
              <w:rPr>
                <w:rFonts w:cs="Arial"/>
                <w:color w:val="000000"/>
                <w:szCs w:val="22"/>
              </w:rPr>
              <w:t xml:space="preserve"> </w:t>
            </w:r>
            <w:r w:rsidRPr="00924801">
              <w:rPr>
                <w:rFonts w:cs="Arial"/>
                <w:color w:val="000000"/>
                <w:w w:val="98"/>
                <w:szCs w:val="22"/>
              </w:rPr>
              <w:t>to meet the changing needs</w:t>
            </w:r>
            <w:r>
              <w:rPr>
                <w:rFonts w:cs="Arial"/>
                <w:color w:val="000000"/>
                <w:w w:val="98"/>
                <w:szCs w:val="22"/>
              </w:rPr>
              <w:t xml:space="preserve"> </w:t>
            </w:r>
            <w:r w:rsidRPr="00924801">
              <w:rPr>
                <w:rFonts w:cs="Arial"/>
                <w:color w:val="000000"/>
                <w:spacing w:val="-2"/>
                <w:w w:val="101"/>
                <w:szCs w:val="22"/>
              </w:rPr>
              <w:t xml:space="preserve">of the service. </w:t>
            </w:r>
          </w:p>
          <w:p w14:paraId="3A32C157" w14:textId="77777777" w:rsidR="00CD4BF5" w:rsidRDefault="00CD4BF5" w:rsidP="00710DCB">
            <w:pPr>
              <w:shd w:val="clear" w:color="auto" w:fill="FFFFFF"/>
              <w:ind w:left="19"/>
              <w:rPr>
                <w:rFonts w:cs="Arial"/>
                <w:color w:val="000000"/>
                <w:spacing w:val="-2"/>
                <w:w w:val="101"/>
                <w:szCs w:val="22"/>
              </w:rPr>
            </w:pPr>
          </w:p>
          <w:p w14:paraId="4830010B" w14:textId="77777777" w:rsidR="00CD4BF5" w:rsidRPr="00924801" w:rsidRDefault="00CD4BF5" w:rsidP="00710DCB">
            <w:pPr>
              <w:shd w:val="clear" w:color="auto" w:fill="FFFFFF"/>
              <w:ind w:left="19"/>
              <w:rPr>
                <w:rFonts w:cs="Arial"/>
                <w:color w:val="000000"/>
                <w:spacing w:val="-2"/>
                <w:w w:val="101"/>
                <w:szCs w:val="22"/>
              </w:rPr>
            </w:pPr>
            <w:r w:rsidRPr="00924801">
              <w:rPr>
                <w:rFonts w:cs="Arial"/>
                <w:color w:val="000000"/>
                <w:spacing w:val="-2"/>
                <w:w w:val="101"/>
                <w:szCs w:val="22"/>
              </w:rPr>
              <w:t>Innovative and flexible thinking.</w:t>
            </w:r>
          </w:p>
          <w:p w14:paraId="74A4E60C" w14:textId="77777777" w:rsidR="00CD4BF5" w:rsidRDefault="00CD4BF5" w:rsidP="00710DCB">
            <w:pPr>
              <w:shd w:val="clear" w:color="auto" w:fill="FFFFFF"/>
              <w:ind w:left="19"/>
              <w:rPr>
                <w:rFonts w:cs="Arial"/>
                <w:color w:val="000000"/>
                <w:spacing w:val="-2"/>
                <w:w w:val="101"/>
                <w:szCs w:val="22"/>
              </w:rPr>
            </w:pPr>
          </w:p>
          <w:p w14:paraId="751A5F81" w14:textId="77777777" w:rsidR="00CD4BF5" w:rsidRPr="00924801" w:rsidRDefault="00CD4BF5" w:rsidP="00710DCB">
            <w:pPr>
              <w:shd w:val="clear" w:color="auto" w:fill="FFFFFF"/>
              <w:ind w:left="19"/>
              <w:rPr>
                <w:rFonts w:cs="Arial"/>
                <w:szCs w:val="22"/>
              </w:rPr>
            </w:pPr>
            <w:r w:rsidRPr="00924801">
              <w:rPr>
                <w:rFonts w:cs="Arial"/>
                <w:color w:val="000000"/>
                <w:spacing w:val="-2"/>
                <w:w w:val="101"/>
                <w:szCs w:val="22"/>
              </w:rPr>
              <w:t xml:space="preserve">Ability to make decisions with </w:t>
            </w:r>
            <w:r>
              <w:rPr>
                <w:rFonts w:cs="Arial"/>
                <w:color w:val="000000"/>
                <w:spacing w:val="-2"/>
                <w:w w:val="101"/>
                <w:szCs w:val="22"/>
              </w:rPr>
              <w:t>c</w:t>
            </w:r>
            <w:r w:rsidRPr="00924801">
              <w:rPr>
                <w:rFonts w:cs="Arial"/>
                <w:color w:val="000000"/>
                <w:spacing w:val="-2"/>
                <w:w w:val="101"/>
                <w:szCs w:val="22"/>
              </w:rPr>
              <w:t>omplex information</w:t>
            </w:r>
          </w:p>
        </w:tc>
        <w:tc>
          <w:tcPr>
            <w:tcW w:w="2539" w:type="dxa"/>
            <w:tcBorders>
              <w:top w:val="single" w:sz="4" w:space="0" w:color="auto"/>
              <w:left w:val="single" w:sz="4" w:space="0" w:color="auto"/>
              <w:bottom w:val="single" w:sz="4" w:space="0" w:color="auto"/>
              <w:right w:val="single" w:sz="4" w:space="0" w:color="auto"/>
            </w:tcBorders>
          </w:tcPr>
          <w:p w14:paraId="0FCECF87" w14:textId="77777777" w:rsidR="00CD4BF5" w:rsidRPr="00924801" w:rsidRDefault="00CD4BF5" w:rsidP="00710DCB">
            <w:pPr>
              <w:rPr>
                <w:rFonts w:cs="Arial"/>
                <w:szCs w:val="22"/>
              </w:rPr>
            </w:pPr>
            <w:r w:rsidRPr="00924801">
              <w:rPr>
                <w:rFonts w:cs="Arial"/>
                <w:szCs w:val="22"/>
              </w:rPr>
              <w:t>Ability to cope with emotionally intense situations</w:t>
            </w:r>
          </w:p>
          <w:p w14:paraId="0BFC24AB" w14:textId="77777777" w:rsidR="00CD4BF5" w:rsidRPr="00924801" w:rsidRDefault="00CD4BF5" w:rsidP="00710DCB">
            <w:pPr>
              <w:rPr>
                <w:rFonts w:cs="Arial"/>
                <w:szCs w:val="22"/>
              </w:rPr>
            </w:pPr>
          </w:p>
        </w:tc>
        <w:tc>
          <w:tcPr>
            <w:tcW w:w="1227" w:type="dxa"/>
            <w:tcBorders>
              <w:top w:val="single" w:sz="4" w:space="0" w:color="auto"/>
              <w:left w:val="single" w:sz="4" w:space="0" w:color="auto"/>
              <w:bottom w:val="single" w:sz="4" w:space="0" w:color="auto"/>
              <w:right w:val="single" w:sz="4" w:space="0" w:color="auto"/>
            </w:tcBorders>
          </w:tcPr>
          <w:p w14:paraId="586DCDED" w14:textId="1055D137" w:rsidR="00CD4BF5" w:rsidRPr="00924801" w:rsidRDefault="00CD4BF5" w:rsidP="00710DCB">
            <w:pPr>
              <w:rPr>
                <w:rFonts w:cs="Arial"/>
                <w:szCs w:val="22"/>
              </w:rPr>
            </w:pPr>
            <w:r>
              <w:rPr>
                <w:color w:val="000000"/>
                <w:spacing w:val="-2"/>
                <w:w w:val="101"/>
                <w:szCs w:val="22"/>
              </w:rPr>
              <w:t>Interview</w:t>
            </w:r>
          </w:p>
        </w:tc>
      </w:tr>
      <w:tr w:rsidR="00CD4BF5" w:rsidRPr="00924801" w14:paraId="4A31C497" w14:textId="0781D511" w:rsidTr="00CD4BF5">
        <w:tc>
          <w:tcPr>
            <w:tcW w:w="2318" w:type="dxa"/>
            <w:tcBorders>
              <w:top w:val="single" w:sz="4" w:space="0" w:color="auto"/>
              <w:left w:val="single" w:sz="4" w:space="0" w:color="auto"/>
              <w:bottom w:val="single" w:sz="4" w:space="0" w:color="auto"/>
              <w:right w:val="single" w:sz="4" w:space="0" w:color="auto"/>
            </w:tcBorders>
          </w:tcPr>
          <w:p w14:paraId="16526EB6" w14:textId="77777777" w:rsidR="00CD4BF5" w:rsidRPr="00924801" w:rsidRDefault="00CD4BF5" w:rsidP="00710DCB">
            <w:pPr>
              <w:pStyle w:val="Heading1"/>
              <w:spacing w:after="0"/>
              <w:rPr>
                <w:sz w:val="22"/>
                <w:szCs w:val="22"/>
              </w:rPr>
            </w:pPr>
            <w:r w:rsidRPr="00924801">
              <w:rPr>
                <w:sz w:val="22"/>
                <w:szCs w:val="22"/>
              </w:rPr>
              <w:t>OTHER:</w:t>
            </w:r>
          </w:p>
          <w:p w14:paraId="736DF3B6" w14:textId="7F95B09A" w:rsidR="00CD4BF5" w:rsidRPr="00924801" w:rsidRDefault="00CD4BF5" w:rsidP="00710DCB">
            <w:pPr>
              <w:rPr>
                <w:rFonts w:cs="Arial"/>
                <w:szCs w:val="22"/>
              </w:rPr>
            </w:pPr>
          </w:p>
        </w:tc>
        <w:tc>
          <w:tcPr>
            <w:tcW w:w="3158" w:type="dxa"/>
            <w:tcBorders>
              <w:top w:val="single" w:sz="4" w:space="0" w:color="auto"/>
              <w:left w:val="single" w:sz="4" w:space="0" w:color="auto"/>
              <w:bottom w:val="single" w:sz="4" w:space="0" w:color="auto"/>
              <w:right w:val="single" w:sz="4" w:space="0" w:color="auto"/>
            </w:tcBorders>
          </w:tcPr>
          <w:p w14:paraId="5C2B84C7" w14:textId="77777777" w:rsidR="00CD4BF5" w:rsidRPr="00924801" w:rsidRDefault="00CD4BF5" w:rsidP="00710DCB">
            <w:pPr>
              <w:rPr>
                <w:rFonts w:cs="Arial"/>
                <w:szCs w:val="22"/>
              </w:rPr>
            </w:pPr>
          </w:p>
        </w:tc>
        <w:tc>
          <w:tcPr>
            <w:tcW w:w="2539" w:type="dxa"/>
            <w:tcBorders>
              <w:top w:val="single" w:sz="4" w:space="0" w:color="auto"/>
              <w:left w:val="single" w:sz="4" w:space="0" w:color="auto"/>
              <w:bottom w:val="single" w:sz="4" w:space="0" w:color="auto"/>
              <w:right w:val="single" w:sz="4" w:space="0" w:color="auto"/>
            </w:tcBorders>
          </w:tcPr>
          <w:p w14:paraId="0C91A348" w14:textId="0CBF2986" w:rsidR="00CD4BF5" w:rsidRPr="00924801" w:rsidRDefault="003A6BDE" w:rsidP="00710DCB">
            <w:pPr>
              <w:rPr>
                <w:rFonts w:cs="Arial"/>
                <w:szCs w:val="22"/>
              </w:rPr>
            </w:pPr>
            <w:r>
              <w:rPr>
                <w:rFonts w:cs="Arial"/>
                <w:szCs w:val="22"/>
              </w:rPr>
              <w:t>Ability to travel between sites</w:t>
            </w:r>
          </w:p>
        </w:tc>
        <w:tc>
          <w:tcPr>
            <w:tcW w:w="1227" w:type="dxa"/>
            <w:tcBorders>
              <w:top w:val="single" w:sz="4" w:space="0" w:color="auto"/>
              <w:left w:val="single" w:sz="4" w:space="0" w:color="auto"/>
              <w:bottom w:val="single" w:sz="4" w:space="0" w:color="auto"/>
              <w:right w:val="single" w:sz="4" w:space="0" w:color="auto"/>
            </w:tcBorders>
          </w:tcPr>
          <w:p w14:paraId="1AD7AA18" w14:textId="4EE276E7" w:rsidR="00CD4BF5" w:rsidRPr="00924801" w:rsidRDefault="00CD4BF5" w:rsidP="00710DCB">
            <w:pPr>
              <w:rPr>
                <w:rFonts w:cs="Arial"/>
                <w:szCs w:val="22"/>
              </w:rPr>
            </w:pPr>
          </w:p>
        </w:tc>
      </w:tr>
    </w:tbl>
    <w:p w14:paraId="724FC0F9" w14:textId="77777777" w:rsidR="00D35228" w:rsidRDefault="00D35228" w:rsidP="00D35228"/>
    <w:p w14:paraId="78AB14C7" w14:textId="77777777" w:rsidR="00D35228" w:rsidRDefault="00D35228" w:rsidP="00D35228"/>
    <w:p w14:paraId="56490E1A" w14:textId="77777777" w:rsidR="00094950" w:rsidRDefault="00094950"/>
    <w:sectPr w:rsidR="00094950" w:rsidSect="00D3522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9E6D" w14:textId="77777777" w:rsidR="00AD2DCC" w:rsidRDefault="00AD2DCC" w:rsidP="00D35228">
      <w:r>
        <w:separator/>
      </w:r>
    </w:p>
  </w:endnote>
  <w:endnote w:type="continuationSeparator" w:id="0">
    <w:p w14:paraId="36994F97" w14:textId="77777777" w:rsidR="00AD2DCC" w:rsidRDefault="00AD2DCC" w:rsidP="00D3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E65E" w14:textId="77777777" w:rsidR="00AD2DCC" w:rsidRDefault="00AD2DCC" w:rsidP="00D35228">
      <w:r>
        <w:separator/>
      </w:r>
    </w:p>
  </w:footnote>
  <w:footnote w:type="continuationSeparator" w:id="0">
    <w:p w14:paraId="1ABE3744" w14:textId="77777777" w:rsidR="00AD2DCC" w:rsidRDefault="00AD2DCC" w:rsidP="00D35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293D" w14:textId="77777777" w:rsidR="00AD2DCC" w:rsidRPr="00D35228" w:rsidRDefault="00AD2DCC">
    <w:pPr>
      <w:pStyle w:val="Header"/>
      <w:rPr>
        <w:b/>
      </w:rPr>
    </w:pPr>
    <w:r w:rsidRPr="00D35228">
      <w:rPr>
        <w:b/>
      </w:rPr>
      <w:t>Person Specification</w:t>
    </w:r>
  </w:p>
  <w:tbl>
    <w:tblPr>
      <w:tblW w:w="0" w:type="auto"/>
      <w:tblBorders>
        <w:top w:val="single" w:sz="4" w:space="0" w:color="auto"/>
      </w:tblBorders>
      <w:tblLook w:val="0000" w:firstRow="0" w:lastRow="0" w:firstColumn="0" w:lastColumn="0" w:noHBand="0" w:noVBand="0"/>
    </w:tblPr>
    <w:tblGrid>
      <w:gridCol w:w="2747"/>
      <w:gridCol w:w="6495"/>
    </w:tblGrid>
    <w:tr w:rsidR="00AD2DCC" w:rsidRPr="00D35228" w14:paraId="7F757B9F" w14:textId="77777777" w:rsidTr="00710DCB">
      <w:tc>
        <w:tcPr>
          <w:tcW w:w="2943" w:type="dxa"/>
          <w:tcBorders>
            <w:top w:val="single" w:sz="4" w:space="0" w:color="auto"/>
          </w:tcBorders>
        </w:tcPr>
        <w:p w14:paraId="42C4EDB7" w14:textId="77777777" w:rsidR="00AD2DCC" w:rsidRPr="00D35228" w:rsidRDefault="00AD2DCC" w:rsidP="00710DCB">
          <w:pPr>
            <w:rPr>
              <w:b/>
              <w:szCs w:val="22"/>
            </w:rPr>
          </w:pPr>
          <w:r w:rsidRPr="00D35228">
            <w:rPr>
              <w:b/>
              <w:szCs w:val="22"/>
            </w:rPr>
            <w:t>JOB TITLE AND GRADE:</w:t>
          </w:r>
        </w:p>
        <w:p w14:paraId="17E0562E" w14:textId="77777777" w:rsidR="00AD2DCC" w:rsidRPr="00D35228" w:rsidRDefault="00AD2DCC" w:rsidP="00710DCB">
          <w:pPr>
            <w:rPr>
              <w:b/>
              <w:szCs w:val="22"/>
            </w:rPr>
          </w:pPr>
          <w:r w:rsidRPr="00D35228">
            <w:rPr>
              <w:b/>
              <w:szCs w:val="22"/>
            </w:rPr>
            <w:t>LOCATION:</w:t>
          </w:r>
        </w:p>
        <w:p w14:paraId="1456EE3E" w14:textId="77777777" w:rsidR="00AD2DCC" w:rsidRPr="00D35228" w:rsidRDefault="00AD2DCC" w:rsidP="00710DCB">
          <w:pPr>
            <w:rPr>
              <w:b/>
              <w:sz w:val="20"/>
            </w:rPr>
          </w:pPr>
          <w:r w:rsidRPr="00D35228">
            <w:rPr>
              <w:b/>
              <w:szCs w:val="22"/>
            </w:rPr>
            <w:t>REF NO:</w:t>
          </w:r>
        </w:p>
      </w:tc>
      <w:tc>
        <w:tcPr>
          <w:tcW w:w="7230" w:type="dxa"/>
          <w:tcBorders>
            <w:top w:val="single" w:sz="4" w:space="0" w:color="auto"/>
          </w:tcBorders>
        </w:tcPr>
        <w:p w14:paraId="65FE7798" w14:textId="77777777" w:rsidR="00AD2DCC" w:rsidRPr="00D35228" w:rsidRDefault="00AD2DCC" w:rsidP="00710DCB">
          <w:pPr>
            <w:rPr>
              <w:b/>
              <w:color w:val="000000"/>
              <w:szCs w:val="22"/>
            </w:rPr>
          </w:pPr>
          <w:r w:rsidRPr="00D35228">
            <w:rPr>
              <w:b/>
              <w:color w:val="000000"/>
              <w:szCs w:val="22"/>
            </w:rPr>
            <w:t>Advanced Practice Speech and Language Therapist (Band 8a)</w:t>
          </w:r>
        </w:p>
        <w:p w14:paraId="6E3EEF76" w14:textId="77777777" w:rsidR="00AD2DCC" w:rsidRPr="00D35228" w:rsidRDefault="00AD2DCC" w:rsidP="00710DCB">
          <w:pPr>
            <w:rPr>
              <w:b/>
            </w:rPr>
          </w:pPr>
          <w:r>
            <w:rPr>
              <w:b/>
              <w:color w:val="000000"/>
              <w:spacing w:val="-1"/>
              <w:szCs w:val="22"/>
            </w:rPr>
            <w:t>Armitstead Child Development Centre, Kings Cross Hospital, Dundee</w:t>
          </w:r>
        </w:p>
      </w:tc>
    </w:tr>
  </w:tbl>
  <w:p w14:paraId="59148968" w14:textId="77777777" w:rsidR="00AD2DCC" w:rsidRDefault="00AD2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E1C"/>
    <w:multiLevelType w:val="hybridMultilevel"/>
    <w:tmpl w:val="AA3A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E5BFC"/>
    <w:multiLevelType w:val="hybridMultilevel"/>
    <w:tmpl w:val="1D5C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601555">
    <w:abstractNumId w:val="0"/>
  </w:num>
  <w:num w:numId="2" w16cid:durableId="599532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5228"/>
    <w:rsid w:val="00094950"/>
    <w:rsid w:val="00354D53"/>
    <w:rsid w:val="003A6BDE"/>
    <w:rsid w:val="00706A20"/>
    <w:rsid w:val="00710DCB"/>
    <w:rsid w:val="00AD2DCC"/>
    <w:rsid w:val="00B15BFF"/>
    <w:rsid w:val="00B642F6"/>
    <w:rsid w:val="00CD4BF5"/>
    <w:rsid w:val="00D35228"/>
    <w:rsid w:val="00DD6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4549"/>
  <w15:docId w15:val="{E61E9674-212D-4C8D-8616-B1C756BA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2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35228"/>
    <w:pPr>
      <w:keepNext/>
      <w:widowControl w:val="0"/>
      <w:autoSpaceDE w:val="0"/>
      <w:autoSpaceDN w:val="0"/>
      <w:adjustRightInd w:val="0"/>
      <w:spacing w:after="278"/>
      <w:outlineLvl w:val="0"/>
    </w:pPr>
    <w:rPr>
      <w:rFonts w:cs="Arial"/>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228"/>
    <w:rPr>
      <w:rFonts w:ascii="Arial" w:eastAsia="Times New Roman" w:hAnsi="Arial" w:cs="Arial"/>
      <w:sz w:val="32"/>
      <w:szCs w:val="32"/>
      <w:lang w:val="en-US"/>
    </w:rPr>
  </w:style>
  <w:style w:type="paragraph" w:styleId="Header">
    <w:name w:val="header"/>
    <w:basedOn w:val="Normal"/>
    <w:link w:val="HeaderChar"/>
    <w:uiPriority w:val="99"/>
    <w:semiHidden/>
    <w:unhideWhenUsed/>
    <w:rsid w:val="00D35228"/>
    <w:pPr>
      <w:tabs>
        <w:tab w:val="center" w:pos="4513"/>
        <w:tab w:val="right" w:pos="9026"/>
      </w:tabs>
    </w:pPr>
  </w:style>
  <w:style w:type="character" w:customStyle="1" w:styleId="HeaderChar">
    <w:name w:val="Header Char"/>
    <w:basedOn w:val="DefaultParagraphFont"/>
    <w:link w:val="Header"/>
    <w:uiPriority w:val="99"/>
    <w:semiHidden/>
    <w:rsid w:val="00D35228"/>
    <w:rPr>
      <w:rFonts w:ascii="Arial" w:eastAsia="Times New Roman" w:hAnsi="Arial" w:cs="Times New Roman"/>
      <w:szCs w:val="20"/>
    </w:rPr>
  </w:style>
  <w:style w:type="paragraph" w:styleId="Footer">
    <w:name w:val="footer"/>
    <w:basedOn w:val="Normal"/>
    <w:link w:val="FooterChar"/>
    <w:uiPriority w:val="99"/>
    <w:semiHidden/>
    <w:unhideWhenUsed/>
    <w:rsid w:val="00D35228"/>
    <w:pPr>
      <w:tabs>
        <w:tab w:val="center" w:pos="4513"/>
        <w:tab w:val="right" w:pos="9026"/>
      </w:tabs>
    </w:pPr>
  </w:style>
  <w:style w:type="character" w:customStyle="1" w:styleId="FooterChar">
    <w:name w:val="Footer Char"/>
    <w:basedOn w:val="DefaultParagraphFont"/>
    <w:link w:val="Footer"/>
    <w:uiPriority w:val="99"/>
    <w:semiHidden/>
    <w:rsid w:val="00D35228"/>
    <w:rPr>
      <w:rFonts w:ascii="Arial" w:eastAsia="Times New Roman" w:hAnsi="Arial" w:cs="Times New Roman"/>
      <w:szCs w:val="20"/>
    </w:rPr>
  </w:style>
  <w:style w:type="paragraph" w:styleId="ListParagraph">
    <w:name w:val="List Paragraph"/>
    <w:basedOn w:val="Normal"/>
    <w:uiPriority w:val="34"/>
    <w:qFormat/>
    <w:rsid w:val="00AD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lmurdie</dc:creator>
  <cp:lastModifiedBy>Morag Souter</cp:lastModifiedBy>
  <cp:revision>4</cp:revision>
  <dcterms:created xsi:type="dcterms:W3CDTF">2024-01-08T11:54:00Z</dcterms:created>
  <dcterms:modified xsi:type="dcterms:W3CDTF">2024-01-10T15:04:00Z</dcterms:modified>
</cp:coreProperties>
</file>