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98AD" w14:textId="77777777" w:rsidR="005F23C5" w:rsidRPr="00BD7EA7" w:rsidRDefault="000F1A2A" w:rsidP="00BD7EA7">
      <w:pPr>
        <w:ind w:right="85"/>
        <w:jc w:val="both"/>
        <w:rPr>
          <w:rFonts w:ascii="Calibri" w:hAnsi="Calibri"/>
          <w:color w:val="000000"/>
        </w:rPr>
      </w:pPr>
      <w:r>
        <w:rPr>
          <w:rFonts w:ascii="Arial" w:hAnsi="Arial" w:cs="Arial"/>
          <w:b/>
          <w:bCs/>
          <w:color w:val="000000" w:themeColor="text1"/>
        </w:rPr>
        <w:t xml:space="preserve">LOCUM </w:t>
      </w:r>
      <w:r w:rsidR="00566C9A" w:rsidRPr="00566C9A">
        <w:rPr>
          <w:rFonts w:ascii="Arial" w:hAnsi="Arial" w:cs="Arial"/>
          <w:b/>
          <w:bCs/>
          <w:color w:val="000000" w:themeColor="text1"/>
        </w:rPr>
        <w:t>C</w:t>
      </w:r>
      <w:r w:rsidR="000C5D91" w:rsidRPr="00566C9A">
        <w:rPr>
          <w:rFonts w:ascii="Arial" w:hAnsi="Arial" w:cs="Arial"/>
          <w:b/>
          <w:bCs/>
          <w:color w:val="000000" w:themeColor="text1"/>
        </w:rPr>
        <w:t>ONSULTANT GASTROENTEROLOGIST</w:t>
      </w:r>
    </w:p>
    <w:p w14:paraId="1072F446" w14:textId="77777777" w:rsidR="005F23C5" w:rsidRPr="00566C9A" w:rsidRDefault="005F23C5" w:rsidP="00EF1BAF">
      <w:pPr>
        <w:pStyle w:val="Heading2"/>
        <w:ind w:left="0" w:right="85" w:firstLine="0"/>
        <w:jc w:val="both"/>
        <w:rPr>
          <w:rFonts w:ascii="Arial" w:hAnsi="Arial" w:cs="Arial"/>
          <w:color w:val="000000" w:themeColor="text1"/>
        </w:rPr>
      </w:pPr>
    </w:p>
    <w:p w14:paraId="2511E996" w14:textId="77777777" w:rsidR="00EF1BAF" w:rsidRPr="00566C9A" w:rsidRDefault="00EF1BAF" w:rsidP="00EF1BAF">
      <w:pPr>
        <w:pStyle w:val="Heading2"/>
        <w:ind w:left="0" w:right="85" w:firstLine="0"/>
        <w:jc w:val="both"/>
        <w:rPr>
          <w:rFonts w:ascii="Arial" w:hAnsi="Arial" w:cs="Arial"/>
          <w:color w:val="000000" w:themeColor="text1"/>
        </w:rPr>
      </w:pPr>
      <w:r w:rsidRPr="00566C9A">
        <w:rPr>
          <w:rFonts w:ascii="Arial" w:hAnsi="Arial" w:cs="Arial"/>
          <w:color w:val="000000" w:themeColor="text1"/>
          <w:sz w:val="24"/>
        </w:rPr>
        <w:t xml:space="preserve">JOB DESCRIPTION </w:t>
      </w:r>
    </w:p>
    <w:p w14:paraId="3B3AF643" w14:textId="77777777" w:rsidR="00F51D49" w:rsidRDefault="00F51D49" w:rsidP="00F51D49">
      <w:pPr>
        <w:ind w:right="85"/>
        <w:jc w:val="both"/>
        <w:rPr>
          <w:rFonts w:ascii="Arial" w:hAnsi="Arial" w:cs="Arial"/>
          <w:color w:val="000000" w:themeColor="text1"/>
        </w:rPr>
      </w:pPr>
    </w:p>
    <w:p w14:paraId="600628DA" w14:textId="77777777" w:rsidR="00EF1BAF" w:rsidRPr="00F51D49" w:rsidRDefault="00EF1BAF" w:rsidP="00F51D49">
      <w:pPr>
        <w:ind w:right="85"/>
        <w:jc w:val="both"/>
        <w:rPr>
          <w:rFonts w:ascii="Arial" w:hAnsi="Arial" w:cs="Arial"/>
          <w:b/>
          <w:color w:val="000000" w:themeColor="text1"/>
        </w:rPr>
      </w:pPr>
      <w:r w:rsidRPr="00F51D49">
        <w:rPr>
          <w:rFonts w:ascii="Arial" w:hAnsi="Arial" w:cs="Arial"/>
          <w:b/>
          <w:color w:val="000000" w:themeColor="text1"/>
        </w:rPr>
        <w:t>Background information</w:t>
      </w:r>
    </w:p>
    <w:p w14:paraId="675A1C18" w14:textId="77777777" w:rsidR="00EF1BAF" w:rsidRPr="00566C9A" w:rsidRDefault="00EF1BAF" w:rsidP="00EF1BAF">
      <w:pPr>
        <w:ind w:right="85"/>
        <w:jc w:val="both"/>
        <w:rPr>
          <w:rFonts w:ascii="Arial" w:hAnsi="Arial" w:cs="Arial"/>
          <w:color w:val="000000" w:themeColor="text1"/>
          <w:u w:val="single"/>
        </w:rPr>
      </w:pPr>
    </w:p>
    <w:p w14:paraId="06F4A9F3" w14:textId="77777777" w:rsidR="00EF1BAF" w:rsidRPr="00566C9A" w:rsidRDefault="00EF1BAF" w:rsidP="00EF1BAF">
      <w:pPr>
        <w:ind w:right="85"/>
        <w:jc w:val="both"/>
        <w:rPr>
          <w:rFonts w:ascii="Arial" w:hAnsi="Arial" w:cs="Arial"/>
          <w:color w:val="000000" w:themeColor="text1"/>
        </w:rPr>
      </w:pPr>
      <w:r w:rsidRPr="00566C9A">
        <w:rPr>
          <w:rFonts w:ascii="Arial" w:hAnsi="Arial" w:cs="Arial"/>
          <w:color w:val="000000" w:themeColor="text1"/>
        </w:rPr>
        <w:t xml:space="preserve">This post offers the opportunity to live and work in the Tayside region of central Scotland, widely regarded as one of the most scenic areas in the UK with a high quality of life. </w:t>
      </w:r>
      <w:r w:rsidR="00B85812" w:rsidRPr="00B85812">
        <w:rPr>
          <w:rFonts w:ascii="Arial" w:hAnsi="Arial" w:cs="Arial"/>
          <w:color w:val="000000" w:themeColor="text1"/>
        </w:rPr>
        <w:t>The University of Dundee has been recognised as a “global centre of excellence for Life Sciences &amp; Medicine” in the newly released QS World University Rankings by Subject 2022.</w:t>
      </w:r>
      <w:r w:rsidRPr="00566C9A">
        <w:rPr>
          <w:rFonts w:ascii="Arial" w:hAnsi="Arial" w:cs="Arial"/>
          <w:color w:val="000000" w:themeColor="text1"/>
        </w:rPr>
        <w:t xml:space="preserve"> </w:t>
      </w:r>
    </w:p>
    <w:p w14:paraId="732891F6" w14:textId="77777777" w:rsidR="00EF1BAF" w:rsidRPr="00566C9A" w:rsidRDefault="00EF1BAF" w:rsidP="00EF1BAF">
      <w:pPr>
        <w:ind w:right="85"/>
        <w:jc w:val="both"/>
        <w:rPr>
          <w:rFonts w:ascii="Arial" w:hAnsi="Arial" w:cs="Arial"/>
          <w:color w:val="000000" w:themeColor="text1"/>
        </w:rPr>
      </w:pPr>
      <w:r w:rsidRPr="00566C9A">
        <w:rPr>
          <w:rFonts w:ascii="Arial" w:hAnsi="Arial" w:cs="Arial"/>
          <w:color w:val="000000" w:themeColor="text1"/>
        </w:rPr>
        <w:t xml:space="preserve"> </w:t>
      </w:r>
    </w:p>
    <w:p w14:paraId="76747D87" w14:textId="77777777" w:rsidR="00EF1BAF" w:rsidRPr="00566C9A" w:rsidRDefault="00EF1BAF" w:rsidP="00EF1BAF">
      <w:pPr>
        <w:ind w:right="85"/>
        <w:jc w:val="both"/>
        <w:rPr>
          <w:rFonts w:ascii="Arial" w:hAnsi="Arial" w:cs="Arial"/>
          <w:color w:val="000000" w:themeColor="text1"/>
        </w:rPr>
      </w:pPr>
      <w:r w:rsidRPr="00566C9A">
        <w:rPr>
          <w:rFonts w:ascii="Arial" w:hAnsi="Arial" w:cs="Arial"/>
          <w:color w:val="000000" w:themeColor="text1"/>
        </w:rPr>
        <w:t xml:space="preserve">Tayside covers </w:t>
      </w:r>
      <w:r w:rsidR="00441BD3">
        <w:rPr>
          <w:rFonts w:ascii="Arial" w:hAnsi="Arial" w:cs="Arial"/>
          <w:color w:val="000000" w:themeColor="text1"/>
        </w:rPr>
        <w:t xml:space="preserve">a population of around 415,000 and </w:t>
      </w:r>
      <w:r w:rsidRPr="00566C9A">
        <w:rPr>
          <w:rFonts w:ascii="Arial" w:hAnsi="Arial" w:cs="Arial"/>
          <w:color w:val="000000" w:themeColor="text1"/>
        </w:rPr>
        <w:t xml:space="preserve">a wide </w:t>
      </w:r>
      <w:r w:rsidR="00441BD3">
        <w:rPr>
          <w:rFonts w:ascii="Arial" w:hAnsi="Arial" w:cs="Arial"/>
          <w:color w:val="000000" w:themeColor="text1"/>
        </w:rPr>
        <w:t xml:space="preserve">geographical </w:t>
      </w:r>
      <w:r w:rsidRPr="00566C9A">
        <w:rPr>
          <w:rFonts w:ascii="Arial" w:hAnsi="Arial" w:cs="Arial"/>
          <w:color w:val="000000" w:themeColor="text1"/>
        </w:rPr>
        <w:t xml:space="preserve">area </w:t>
      </w:r>
      <w:r w:rsidR="00872FEA">
        <w:rPr>
          <w:rFonts w:ascii="Arial" w:hAnsi="Arial" w:cs="Arial"/>
          <w:color w:val="000000" w:themeColor="text1"/>
        </w:rPr>
        <w:t xml:space="preserve">including not only </w:t>
      </w:r>
      <w:r w:rsidRPr="00566C9A">
        <w:rPr>
          <w:rFonts w:ascii="Arial" w:hAnsi="Arial" w:cs="Arial"/>
          <w:color w:val="000000" w:themeColor="text1"/>
        </w:rPr>
        <w:t xml:space="preserve">Perth &amp; Kinross, Angus and Dundee City but </w:t>
      </w:r>
      <w:r w:rsidR="00872FEA">
        <w:rPr>
          <w:rFonts w:ascii="Arial" w:hAnsi="Arial" w:cs="Arial"/>
          <w:color w:val="000000" w:themeColor="text1"/>
        </w:rPr>
        <w:t xml:space="preserve">also some </w:t>
      </w:r>
      <w:r w:rsidRPr="00566C9A">
        <w:rPr>
          <w:rFonts w:ascii="Arial" w:hAnsi="Arial" w:cs="Arial"/>
          <w:color w:val="000000" w:themeColor="text1"/>
        </w:rPr>
        <w:t>patient</w:t>
      </w:r>
      <w:r w:rsidR="00872FEA">
        <w:rPr>
          <w:rFonts w:ascii="Arial" w:hAnsi="Arial" w:cs="Arial"/>
          <w:color w:val="000000" w:themeColor="text1"/>
        </w:rPr>
        <w:t>s</w:t>
      </w:r>
      <w:r w:rsidRPr="00566C9A">
        <w:rPr>
          <w:rFonts w:ascii="Arial" w:hAnsi="Arial" w:cs="Arial"/>
          <w:color w:val="000000" w:themeColor="text1"/>
        </w:rPr>
        <w:t xml:space="preserve"> from North Fife</w:t>
      </w:r>
      <w:r w:rsidR="00872FEA">
        <w:rPr>
          <w:rFonts w:ascii="Arial" w:hAnsi="Arial" w:cs="Arial"/>
          <w:color w:val="000000" w:themeColor="text1"/>
        </w:rPr>
        <w:t>.</w:t>
      </w:r>
      <w:r w:rsidRPr="00566C9A">
        <w:rPr>
          <w:rFonts w:ascii="Arial" w:hAnsi="Arial" w:cs="Arial"/>
          <w:color w:val="000000" w:themeColor="text1"/>
        </w:rPr>
        <w:t xml:space="preserve"> There are joint services between NHS Tayside and NHS Fife including ENT, vascular surgery and interventional radiology. The approximate populations are given in the table beneath.</w:t>
      </w:r>
    </w:p>
    <w:p w14:paraId="6E00AB49" w14:textId="77777777" w:rsidR="00EF1BAF" w:rsidRPr="00566C9A" w:rsidRDefault="00EF1BAF" w:rsidP="00EF1BAF">
      <w:pPr>
        <w:ind w:right="85"/>
        <w:jc w:val="both"/>
        <w:rPr>
          <w:rFonts w:ascii="Arial" w:hAnsi="Arial" w:cs="Arial"/>
          <w:color w:val="000000" w:themeColor="text1"/>
        </w:rPr>
      </w:pPr>
    </w:p>
    <w:p w14:paraId="2AB80A7A" w14:textId="77777777" w:rsidR="00EF1BAF" w:rsidRDefault="00EF1BAF" w:rsidP="00EF1BAF">
      <w:pPr>
        <w:ind w:right="85"/>
        <w:jc w:val="both"/>
        <w:rPr>
          <w:rFonts w:ascii="Arial" w:hAnsi="Arial" w:cs="Arial"/>
          <w:color w:val="000000" w:themeColor="text1"/>
        </w:rPr>
      </w:pPr>
      <w:r w:rsidRPr="00566C9A">
        <w:rPr>
          <w:rFonts w:ascii="Arial" w:hAnsi="Arial" w:cs="Arial"/>
          <w:color w:val="000000" w:themeColor="text1"/>
        </w:rPr>
        <w:t>NHS Tayside is regarded as a</w:t>
      </w:r>
      <w:r w:rsidR="00B91AF6">
        <w:rPr>
          <w:rFonts w:ascii="Arial" w:hAnsi="Arial" w:cs="Arial"/>
          <w:color w:val="000000" w:themeColor="text1"/>
        </w:rPr>
        <w:t xml:space="preserve">n innovative </w:t>
      </w:r>
      <w:r w:rsidRPr="00566C9A">
        <w:rPr>
          <w:rFonts w:ascii="Arial" w:hAnsi="Arial" w:cs="Arial"/>
          <w:color w:val="000000" w:themeColor="text1"/>
        </w:rPr>
        <w:t>health board</w:t>
      </w:r>
      <w:r w:rsidR="00B91AF6">
        <w:rPr>
          <w:rFonts w:ascii="Arial" w:hAnsi="Arial" w:cs="Arial"/>
          <w:color w:val="000000" w:themeColor="text1"/>
        </w:rPr>
        <w:t xml:space="preserve"> </w:t>
      </w:r>
      <w:r w:rsidR="00B85812">
        <w:rPr>
          <w:rFonts w:ascii="Arial" w:hAnsi="Arial" w:cs="Arial"/>
          <w:color w:val="000000" w:themeColor="text1"/>
        </w:rPr>
        <w:t xml:space="preserve">and </w:t>
      </w:r>
      <w:r w:rsidRPr="00566C9A">
        <w:rPr>
          <w:rFonts w:ascii="Arial" w:hAnsi="Arial" w:cs="Arial"/>
          <w:color w:val="000000" w:themeColor="text1"/>
        </w:rPr>
        <w:t>has a</w:t>
      </w:r>
      <w:r w:rsidR="00B85812">
        <w:rPr>
          <w:rFonts w:ascii="Arial" w:hAnsi="Arial" w:cs="Arial"/>
          <w:color w:val="000000" w:themeColor="text1"/>
        </w:rPr>
        <w:t>n</w:t>
      </w:r>
      <w:r w:rsidRPr="00566C9A">
        <w:rPr>
          <w:rFonts w:ascii="Arial" w:hAnsi="Arial" w:cs="Arial"/>
          <w:color w:val="000000" w:themeColor="text1"/>
        </w:rPr>
        <w:t xml:space="preserve"> </w:t>
      </w:r>
      <w:r w:rsidR="00B85812">
        <w:rPr>
          <w:rFonts w:ascii="Arial" w:hAnsi="Arial" w:cs="Arial"/>
          <w:color w:val="000000" w:themeColor="text1"/>
        </w:rPr>
        <w:t>inter</w:t>
      </w:r>
      <w:r w:rsidRPr="00566C9A">
        <w:rPr>
          <w:rFonts w:ascii="Arial" w:hAnsi="Arial" w:cs="Arial"/>
          <w:color w:val="000000" w:themeColor="text1"/>
        </w:rPr>
        <w:t xml:space="preserve">national reputation for models of service development, health informatics and quality improvement. The new Academic Health Sciences Partnership in Tayside [AHSP] provides a unique environment and opportunity in Scotland to improve patient outcomes through a cohesive and integrated infra-structure for delivering service improvement, research, education and learning underpinned by world leading informatics. </w:t>
      </w:r>
    </w:p>
    <w:p w14:paraId="7176C701" w14:textId="77777777" w:rsidR="002E097F" w:rsidRPr="002E097F" w:rsidRDefault="002E097F" w:rsidP="00EF1BAF">
      <w:pPr>
        <w:ind w:right="85"/>
        <w:jc w:val="both"/>
        <w:rPr>
          <w:rFonts w:ascii="Arial" w:hAnsi="Arial" w:cs="Arial"/>
          <w:color w:val="000000" w:themeColor="text1"/>
        </w:rPr>
      </w:pPr>
    </w:p>
    <w:p w14:paraId="74BD65A6" w14:textId="77777777" w:rsidR="00EF1BAF" w:rsidRPr="00566C9A" w:rsidRDefault="00EF1BAF" w:rsidP="00EF1BAF">
      <w:pPr>
        <w:ind w:right="85"/>
        <w:jc w:val="both"/>
        <w:rPr>
          <w:rFonts w:ascii="Arial" w:hAnsi="Arial" w:cs="Arial"/>
          <w:color w:val="000000" w:themeColor="text1"/>
        </w:rPr>
      </w:pPr>
      <w:r w:rsidRPr="00566C9A">
        <w:rPr>
          <w:rFonts w:ascii="Arial" w:hAnsi="Arial" w:cs="Arial"/>
          <w:color w:val="000000" w:themeColor="text1"/>
        </w:rPr>
        <w:t>There are two hospitals which admit acute general medical patients and provide in-patient services; Ninewells Hospital, Dundee and Perth Royal Infirmary</w:t>
      </w:r>
      <w:r w:rsidR="00B85812">
        <w:rPr>
          <w:rFonts w:ascii="Arial" w:hAnsi="Arial" w:cs="Arial"/>
          <w:color w:val="000000" w:themeColor="text1"/>
        </w:rPr>
        <w:t xml:space="preserve"> which are 20 miles apart; gastroenterology in-patients are admitted to Ninewells Hospital</w:t>
      </w:r>
      <w:r w:rsidRPr="00566C9A">
        <w:rPr>
          <w:rFonts w:ascii="Arial" w:hAnsi="Arial" w:cs="Arial"/>
          <w:color w:val="000000" w:themeColor="text1"/>
        </w:rPr>
        <w:t>. .</w:t>
      </w:r>
    </w:p>
    <w:p w14:paraId="20F18DEA" w14:textId="77777777" w:rsidR="00872FEA" w:rsidRDefault="00872FEA">
      <w:pPr>
        <w:suppressAutoHyphens w:val="0"/>
        <w:rPr>
          <w:rFonts w:ascii="Arial" w:hAnsi="Arial" w:cs="Arial"/>
          <w:b/>
          <w:color w:val="000000" w:themeColor="text1"/>
        </w:rPr>
      </w:pPr>
      <w:r>
        <w:rPr>
          <w:rFonts w:ascii="Arial" w:hAnsi="Arial" w:cs="Arial"/>
          <w:b/>
          <w:color w:val="000000" w:themeColor="text1"/>
        </w:rPr>
        <w:br w:type="page"/>
      </w:r>
    </w:p>
    <w:p w14:paraId="6DDE002E" w14:textId="77777777" w:rsidR="00921829" w:rsidRPr="00F51D49" w:rsidRDefault="00921829" w:rsidP="00F51D49">
      <w:pPr>
        <w:ind w:right="85"/>
        <w:jc w:val="both"/>
        <w:rPr>
          <w:rFonts w:ascii="Arial" w:hAnsi="Arial" w:cs="Arial"/>
          <w:b/>
          <w:color w:val="000000" w:themeColor="text1"/>
        </w:rPr>
      </w:pPr>
      <w:r w:rsidRPr="00F51D49">
        <w:rPr>
          <w:rFonts w:ascii="Arial" w:hAnsi="Arial" w:cs="Arial"/>
          <w:b/>
          <w:color w:val="000000" w:themeColor="text1"/>
        </w:rPr>
        <w:lastRenderedPageBreak/>
        <w:t>Gastroenterology</w:t>
      </w:r>
    </w:p>
    <w:p w14:paraId="78B9CB0F" w14:textId="77777777" w:rsidR="000C5D91" w:rsidRPr="00566C9A" w:rsidRDefault="000C5D91" w:rsidP="000C5D91">
      <w:pPr>
        <w:ind w:right="85"/>
        <w:jc w:val="both"/>
        <w:rPr>
          <w:rFonts w:ascii="Arial" w:hAnsi="Arial" w:cs="Arial"/>
          <w:b/>
          <w:color w:val="000000" w:themeColor="text1"/>
          <w:u w:val="single"/>
        </w:rPr>
      </w:pPr>
    </w:p>
    <w:p w14:paraId="0AB00373" w14:textId="77777777" w:rsidR="00872FEA" w:rsidRDefault="000C5D91" w:rsidP="000C5D91">
      <w:pPr>
        <w:pStyle w:val="BodyText"/>
        <w:rPr>
          <w:rFonts w:ascii="Arial" w:hAnsi="Arial" w:cs="Arial"/>
          <w:color w:val="000000" w:themeColor="text1"/>
        </w:rPr>
      </w:pPr>
      <w:r w:rsidRPr="00566C9A">
        <w:rPr>
          <w:rFonts w:ascii="Arial" w:hAnsi="Arial" w:cs="Arial"/>
          <w:color w:val="000000" w:themeColor="text1"/>
        </w:rPr>
        <w:t xml:space="preserve">Gastroenterology services in Tayside offer a comprehensive range of endoscopic and clinical services. </w:t>
      </w:r>
    </w:p>
    <w:p w14:paraId="1D811624" w14:textId="77777777" w:rsidR="00872FEA" w:rsidRDefault="00872FEA" w:rsidP="000C5D91">
      <w:pPr>
        <w:pStyle w:val="BodyText"/>
        <w:rPr>
          <w:rFonts w:ascii="Arial" w:hAnsi="Arial" w:cs="Arial"/>
          <w:color w:val="000000" w:themeColor="text1"/>
        </w:rPr>
      </w:pPr>
      <w:r>
        <w:rPr>
          <w:rFonts w:ascii="Arial" w:hAnsi="Arial" w:cs="Arial"/>
          <w:color w:val="000000" w:themeColor="text1"/>
        </w:rPr>
        <w:t xml:space="preserve">In patient services are centralised on the Ninewells site in Dundee whilst endoscopic and </w:t>
      </w:r>
      <w:r w:rsidR="00B85812">
        <w:rPr>
          <w:rFonts w:ascii="Arial" w:hAnsi="Arial" w:cs="Arial"/>
          <w:color w:val="000000" w:themeColor="text1"/>
        </w:rPr>
        <w:t>outpatient</w:t>
      </w:r>
      <w:r>
        <w:rPr>
          <w:rFonts w:ascii="Arial" w:hAnsi="Arial" w:cs="Arial"/>
          <w:color w:val="000000" w:themeColor="text1"/>
        </w:rPr>
        <w:t xml:space="preserve"> s</w:t>
      </w:r>
      <w:r w:rsidR="000C5D91" w:rsidRPr="00566C9A">
        <w:rPr>
          <w:rFonts w:ascii="Arial" w:hAnsi="Arial" w:cs="Arial"/>
          <w:color w:val="000000" w:themeColor="text1"/>
        </w:rPr>
        <w:t xml:space="preserve">ervices are delivered </w:t>
      </w:r>
      <w:r>
        <w:rPr>
          <w:rFonts w:ascii="Arial" w:hAnsi="Arial" w:cs="Arial"/>
          <w:color w:val="000000" w:themeColor="text1"/>
        </w:rPr>
        <w:t>across both sites.</w:t>
      </w:r>
    </w:p>
    <w:p w14:paraId="7C3B21DD" w14:textId="77777777" w:rsidR="000C5D91" w:rsidRPr="00566C9A" w:rsidRDefault="000C5D91" w:rsidP="000C5D91">
      <w:pPr>
        <w:pStyle w:val="BodyText"/>
        <w:rPr>
          <w:rFonts w:ascii="Arial" w:hAnsi="Arial" w:cs="Arial"/>
          <w:color w:val="000000" w:themeColor="text1"/>
        </w:rPr>
      </w:pPr>
      <w:r w:rsidRPr="00566C9A">
        <w:rPr>
          <w:rFonts w:ascii="Arial" w:hAnsi="Arial" w:cs="Arial"/>
          <w:color w:val="000000" w:themeColor="text1"/>
        </w:rPr>
        <w:t>The Ninewells Gastroenterology Unit consi</w:t>
      </w:r>
      <w:r w:rsidR="00872FEA">
        <w:rPr>
          <w:rFonts w:ascii="Arial" w:hAnsi="Arial" w:cs="Arial"/>
          <w:color w:val="000000" w:themeColor="text1"/>
        </w:rPr>
        <w:t xml:space="preserve">sts of a 24 bedded ward and </w:t>
      </w:r>
      <w:r w:rsidR="00ED2309">
        <w:rPr>
          <w:rFonts w:ascii="Arial" w:hAnsi="Arial" w:cs="Arial"/>
          <w:color w:val="000000" w:themeColor="text1"/>
        </w:rPr>
        <w:t xml:space="preserve">a 4 roomed </w:t>
      </w:r>
      <w:r w:rsidR="00420020" w:rsidRPr="00566C9A">
        <w:rPr>
          <w:rFonts w:ascii="Arial" w:hAnsi="Arial" w:cs="Arial"/>
          <w:color w:val="000000" w:themeColor="text1"/>
        </w:rPr>
        <w:t>Endoscopy suite</w:t>
      </w:r>
      <w:r w:rsidR="00ED2309">
        <w:rPr>
          <w:rFonts w:ascii="Arial" w:hAnsi="Arial" w:cs="Arial"/>
          <w:color w:val="000000" w:themeColor="text1"/>
        </w:rPr>
        <w:t xml:space="preserve">. </w:t>
      </w:r>
      <w:r w:rsidRPr="00566C9A">
        <w:rPr>
          <w:rFonts w:ascii="Arial" w:hAnsi="Arial" w:cs="Arial"/>
          <w:color w:val="000000" w:themeColor="text1"/>
        </w:rPr>
        <w:t>Perth</w:t>
      </w:r>
      <w:r w:rsidR="00872FEA">
        <w:rPr>
          <w:rFonts w:ascii="Arial" w:hAnsi="Arial" w:cs="Arial"/>
          <w:color w:val="000000" w:themeColor="text1"/>
        </w:rPr>
        <w:t xml:space="preserve"> Royal Infirmary has a </w:t>
      </w:r>
      <w:r w:rsidR="00C8484F" w:rsidRPr="00566C9A">
        <w:rPr>
          <w:rFonts w:ascii="Arial" w:hAnsi="Arial" w:cs="Arial"/>
          <w:color w:val="000000" w:themeColor="text1"/>
        </w:rPr>
        <w:t>two roomed endoscopy suite</w:t>
      </w:r>
      <w:r w:rsidRPr="00566C9A">
        <w:rPr>
          <w:rFonts w:ascii="Arial" w:hAnsi="Arial" w:cs="Arial"/>
          <w:color w:val="000000" w:themeColor="text1"/>
        </w:rPr>
        <w:t>.</w:t>
      </w:r>
      <w:r w:rsidR="00420020" w:rsidRPr="00566C9A">
        <w:rPr>
          <w:rFonts w:ascii="Arial" w:hAnsi="Arial" w:cs="Arial"/>
          <w:color w:val="000000" w:themeColor="text1"/>
        </w:rPr>
        <w:t xml:space="preserve"> </w:t>
      </w:r>
      <w:r w:rsidR="00ED2309">
        <w:rPr>
          <w:rFonts w:ascii="Arial" w:hAnsi="Arial" w:cs="Arial"/>
          <w:color w:val="000000" w:themeColor="text1"/>
        </w:rPr>
        <w:t xml:space="preserve">Both units are equipped with </w:t>
      </w:r>
      <w:r w:rsidR="00B85812">
        <w:rPr>
          <w:rFonts w:ascii="Arial" w:hAnsi="Arial" w:cs="Arial"/>
          <w:color w:val="000000" w:themeColor="text1"/>
        </w:rPr>
        <w:t>state-of-the-art</w:t>
      </w:r>
      <w:r w:rsidR="00ED2309">
        <w:rPr>
          <w:rFonts w:ascii="Arial" w:hAnsi="Arial" w:cs="Arial"/>
          <w:color w:val="000000" w:themeColor="text1"/>
        </w:rPr>
        <w:t xml:space="preserve"> Olympus equipment</w:t>
      </w:r>
      <w:r w:rsidR="00ED2309" w:rsidRPr="00566C9A">
        <w:rPr>
          <w:rFonts w:ascii="Arial" w:hAnsi="Arial" w:cs="Arial"/>
          <w:color w:val="000000" w:themeColor="text1"/>
        </w:rPr>
        <w:t xml:space="preserve">. </w:t>
      </w:r>
      <w:r w:rsidR="00420020" w:rsidRPr="00566C9A">
        <w:rPr>
          <w:rFonts w:ascii="Arial" w:hAnsi="Arial" w:cs="Arial"/>
          <w:color w:val="000000" w:themeColor="text1"/>
        </w:rPr>
        <w:t xml:space="preserve">Within NHS Tayside a comprehensive range of diagnostic and therapeutic endoscopic services are provided, including </w:t>
      </w:r>
      <w:r w:rsidR="00872FEA">
        <w:rPr>
          <w:rFonts w:ascii="Arial" w:hAnsi="Arial" w:cs="Arial"/>
          <w:color w:val="000000" w:themeColor="text1"/>
        </w:rPr>
        <w:t xml:space="preserve">all aspects of </w:t>
      </w:r>
      <w:r w:rsidR="00420020" w:rsidRPr="00566C9A">
        <w:rPr>
          <w:rFonts w:ascii="Arial" w:hAnsi="Arial" w:cs="Arial"/>
          <w:color w:val="000000" w:themeColor="text1"/>
        </w:rPr>
        <w:t>general GI endoscopy, ERCP, EMR, EUS and RFA.</w:t>
      </w:r>
      <w:r w:rsidR="00ED2309">
        <w:rPr>
          <w:rFonts w:ascii="Arial" w:hAnsi="Arial" w:cs="Arial"/>
          <w:color w:val="000000" w:themeColor="text1"/>
        </w:rPr>
        <w:t xml:space="preserve"> There is </w:t>
      </w:r>
      <w:r w:rsidR="00B85812">
        <w:rPr>
          <w:rFonts w:ascii="Arial" w:hAnsi="Arial" w:cs="Arial"/>
          <w:color w:val="000000" w:themeColor="text1"/>
        </w:rPr>
        <w:t>24-hour</w:t>
      </w:r>
      <w:r w:rsidR="00ED2309">
        <w:rPr>
          <w:rFonts w:ascii="Arial" w:hAnsi="Arial" w:cs="Arial"/>
          <w:color w:val="000000" w:themeColor="text1"/>
        </w:rPr>
        <w:t xml:space="preserve"> access to interventional radiology (including TIPSS) and acute surgery on the Ninewells site.</w:t>
      </w:r>
    </w:p>
    <w:p w14:paraId="038F23BC" w14:textId="77777777" w:rsidR="00872FEA" w:rsidRDefault="000C5D91" w:rsidP="000C5D91">
      <w:pPr>
        <w:pStyle w:val="BodyText"/>
        <w:rPr>
          <w:rFonts w:ascii="Arial" w:hAnsi="Arial" w:cs="Arial"/>
          <w:color w:val="000000" w:themeColor="text1"/>
        </w:rPr>
      </w:pPr>
      <w:r w:rsidRPr="00566C9A">
        <w:rPr>
          <w:rFonts w:ascii="Arial" w:hAnsi="Arial" w:cs="Arial"/>
          <w:color w:val="000000" w:themeColor="text1"/>
        </w:rPr>
        <w:t xml:space="preserve">The unit manages patients with all aspects of gastrointestinal and hepatic disease with the exception of </w:t>
      </w:r>
      <w:r w:rsidR="00872FEA">
        <w:rPr>
          <w:rFonts w:ascii="Arial" w:hAnsi="Arial" w:cs="Arial"/>
          <w:color w:val="000000" w:themeColor="text1"/>
        </w:rPr>
        <w:t>acute</w:t>
      </w:r>
      <w:r w:rsidR="00DB1F85">
        <w:rPr>
          <w:rFonts w:ascii="Arial" w:hAnsi="Arial" w:cs="Arial"/>
          <w:color w:val="000000" w:themeColor="text1"/>
        </w:rPr>
        <w:t xml:space="preserve"> liver</w:t>
      </w:r>
      <w:r w:rsidR="00872FEA">
        <w:rPr>
          <w:rFonts w:ascii="Arial" w:hAnsi="Arial" w:cs="Arial"/>
          <w:color w:val="000000" w:themeColor="text1"/>
        </w:rPr>
        <w:t xml:space="preserve"> </w:t>
      </w:r>
      <w:r w:rsidRPr="00566C9A">
        <w:rPr>
          <w:rFonts w:ascii="Arial" w:hAnsi="Arial" w:cs="Arial"/>
          <w:color w:val="000000" w:themeColor="text1"/>
        </w:rPr>
        <w:t>transplantation. Approximately 16,500 endoscopies per year are performed in Tayside.  Specialist services include</w:t>
      </w:r>
      <w:r w:rsidR="00DB1F85">
        <w:rPr>
          <w:rFonts w:ascii="Arial" w:hAnsi="Arial" w:cs="Arial"/>
          <w:color w:val="000000" w:themeColor="text1"/>
        </w:rPr>
        <w:t xml:space="preserve"> </w:t>
      </w:r>
      <w:r w:rsidR="00DB1F85" w:rsidRPr="00566C9A">
        <w:rPr>
          <w:rFonts w:ascii="Arial" w:hAnsi="Arial" w:cs="Arial"/>
          <w:color w:val="000000" w:themeColor="text1"/>
        </w:rPr>
        <w:t>inflammatory bowel disease clinics</w:t>
      </w:r>
      <w:r w:rsidR="00DB1F85">
        <w:rPr>
          <w:rFonts w:ascii="Arial" w:hAnsi="Arial" w:cs="Arial"/>
          <w:color w:val="000000" w:themeColor="text1"/>
        </w:rPr>
        <w:t xml:space="preserve">, paediatric transition clinics, </w:t>
      </w:r>
      <w:r w:rsidRPr="00566C9A">
        <w:rPr>
          <w:rFonts w:ascii="Arial" w:hAnsi="Arial" w:cs="Arial"/>
          <w:color w:val="000000" w:themeColor="text1"/>
        </w:rPr>
        <w:t xml:space="preserve">a </w:t>
      </w:r>
      <w:r w:rsidR="00B85812" w:rsidRPr="00566C9A">
        <w:rPr>
          <w:rFonts w:ascii="Arial" w:hAnsi="Arial" w:cs="Arial"/>
          <w:color w:val="000000" w:themeColor="text1"/>
        </w:rPr>
        <w:t>fast-track</w:t>
      </w:r>
      <w:r w:rsidRPr="00566C9A">
        <w:rPr>
          <w:rFonts w:ascii="Arial" w:hAnsi="Arial" w:cs="Arial"/>
          <w:color w:val="000000" w:themeColor="text1"/>
        </w:rPr>
        <w:t xml:space="preserve"> jaundice clinic, liver clinic, liver transplant clinic in combination with Scottish Liver Transplant Unit, and nutrition clinics.  </w:t>
      </w:r>
    </w:p>
    <w:p w14:paraId="255A8DEF" w14:textId="77777777" w:rsidR="00FD2653" w:rsidRDefault="000C5D91" w:rsidP="000C5D91">
      <w:pPr>
        <w:pStyle w:val="BodyText"/>
        <w:rPr>
          <w:rFonts w:ascii="Arial" w:hAnsi="Arial" w:cs="Arial"/>
          <w:color w:val="000000" w:themeColor="text1"/>
        </w:rPr>
      </w:pPr>
      <w:r w:rsidRPr="00566C9A">
        <w:rPr>
          <w:rFonts w:ascii="Arial" w:hAnsi="Arial" w:cs="Arial"/>
          <w:color w:val="000000" w:themeColor="text1"/>
        </w:rPr>
        <w:t xml:space="preserve">Tayside </w:t>
      </w:r>
      <w:r w:rsidR="00872FEA">
        <w:rPr>
          <w:rFonts w:ascii="Arial" w:hAnsi="Arial" w:cs="Arial"/>
          <w:color w:val="000000" w:themeColor="text1"/>
        </w:rPr>
        <w:t xml:space="preserve">continues to </w:t>
      </w:r>
      <w:r w:rsidRPr="00566C9A">
        <w:rPr>
          <w:rFonts w:ascii="Arial" w:hAnsi="Arial" w:cs="Arial"/>
          <w:color w:val="000000" w:themeColor="text1"/>
        </w:rPr>
        <w:t xml:space="preserve">provide </w:t>
      </w:r>
      <w:r w:rsidR="00872FEA">
        <w:rPr>
          <w:rFonts w:ascii="Arial" w:hAnsi="Arial" w:cs="Arial"/>
          <w:color w:val="000000" w:themeColor="text1"/>
        </w:rPr>
        <w:t xml:space="preserve">JETS accredited </w:t>
      </w:r>
      <w:r w:rsidRPr="00566C9A">
        <w:rPr>
          <w:rFonts w:ascii="Arial" w:hAnsi="Arial" w:cs="Arial"/>
          <w:color w:val="000000" w:themeColor="text1"/>
        </w:rPr>
        <w:t xml:space="preserve">Endoscopic training courses </w:t>
      </w:r>
      <w:r w:rsidR="00872FEA">
        <w:rPr>
          <w:rFonts w:ascii="Arial" w:hAnsi="Arial" w:cs="Arial"/>
          <w:color w:val="000000" w:themeColor="text1"/>
        </w:rPr>
        <w:t>in association with the Dundee Institute for Healthcare Si</w:t>
      </w:r>
      <w:r w:rsidR="00B85812">
        <w:rPr>
          <w:rFonts w:ascii="Arial" w:hAnsi="Arial" w:cs="Arial"/>
          <w:color w:val="000000" w:themeColor="text1"/>
        </w:rPr>
        <w:t>mulation</w:t>
      </w:r>
      <w:r w:rsidR="00872FEA">
        <w:rPr>
          <w:rFonts w:ascii="Arial" w:hAnsi="Arial" w:cs="Arial"/>
          <w:color w:val="000000" w:themeColor="text1"/>
        </w:rPr>
        <w:t xml:space="preserve"> which is housed on the Ninewells Campus.</w:t>
      </w:r>
    </w:p>
    <w:p w14:paraId="1E03CADD" w14:textId="77777777" w:rsidR="00E63732" w:rsidRDefault="00E63732" w:rsidP="00E63732">
      <w:pPr>
        <w:pStyle w:val="BodyText"/>
        <w:rPr>
          <w:rFonts w:ascii="Arial" w:hAnsi="Arial" w:cs="Arial"/>
          <w:color w:val="000000" w:themeColor="text1"/>
        </w:rPr>
      </w:pPr>
      <w:r>
        <w:rPr>
          <w:rFonts w:ascii="Arial" w:hAnsi="Arial" w:cs="Arial"/>
          <w:color w:val="000000" w:themeColor="text1"/>
        </w:rPr>
        <w:t>The department also benefits from higher trainees as part of the East of Scotland Gastroenterology rotation, 1 x IMT3, 1 x IMT1-2, 1 x GPST and 7 FY doctors as well as 2 endoscopy fellows and a Physicians Associate.</w:t>
      </w:r>
    </w:p>
    <w:p w14:paraId="128A4D3D" w14:textId="77777777" w:rsidR="00E63732" w:rsidRDefault="00E63732" w:rsidP="00E63732">
      <w:pPr>
        <w:pStyle w:val="BodyText"/>
        <w:rPr>
          <w:rFonts w:ascii="Arial" w:hAnsi="Arial" w:cs="Arial"/>
          <w:color w:val="000000" w:themeColor="text1"/>
        </w:rPr>
      </w:pPr>
      <w:r>
        <w:rPr>
          <w:rFonts w:ascii="Arial" w:hAnsi="Arial" w:cs="Arial"/>
          <w:color w:val="000000" w:themeColor="text1"/>
        </w:rPr>
        <w:t>We have a large team of specialist nurses including IBD Nurses (5), Liver/Alcohol Nurses (3), Nutrition/PEG Nurses (1), Gastroenterology Specialist Nurse (1) and Nurse Endoscopists (4).</w:t>
      </w:r>
    </w:p>
    <w:p w14:paraId="5EC1E58A" w14:textId="77777777" w:rsidR="000C5D91" w:rsidRPr="00566C9A" w:rsidRDefault="00872FEA" w:rsidP="000C5D91">
      <w:pPr>
        <w:pStyle w:val="BodyText"/>
        <w:rPr>
          <w:rFonts w:ascii="Arial" w:hAnsi="Arial" w:cs="Arial"/>
          <w:color w:val="000000" w:themeColor="text1"/>
        </w:rPr>
      </w:pPr>
      <w:r>
        <w:rPr>
          <w:rFonts w:ascii="Arial" w:hAnsi="Arial" w:cs="Arial"/>
          <w:color w:val="000000" w:themeColor="text1"/>
        </w:rPr>
        <w:t xml:space="preserve">The department has a </w:t>
      </w:r>
      <w:r w:rsidR="000C5D91" w:rsidRPr="00566C9A">
        <w:rPr>
          <w:rFonts w:ascii="Arial" w:hAnsi="Arial" w:cs="Arial"/>
          <w:color w:val="000000" w:themeColor="text1"/>
        </w:rPr>
        <w:t>strong academic record with an</w:t>
      </w:r>
      <w:r w:rsidR="00FD2653">
        <w:rPr>
          <w:rFonts w:ascii="Arial" w:hAnsi="Arial" w:cs="Arial"/>
          <w:color w:val="000000" w:themeColor="text1"/>
        </w:rPr>
        <w:t xml:space="preserve"> active</w:t>
      </w:r>
      <w:r w:rsidR="000C5D91" w:rsidRPr="00566C9A">
        <w:rPr>
          <w:rFonts w:ascii="Arial" w:hAnsi="Arial" w:cs="Arial"/>
          <w:color w:val="000000" w:themeColor="text1"/>
        </w:rPr>
        <w:t xml:space="preserve"> </w:t>
      </w:r>
      <w:r>
        <w:rPr>
          <w:rFonts w:ascii="Arial" w:hAnsi="Arial" w:cs="Arial"/>
          <w:color w:val="000000" w:themeColor="text1"/>
        </w:rPr>
        <w:t xml:space="preserve">postgraduate </w:t>
      </w:r>
      <w:r w:rsidR="000C5D91" w:rsidRPr="00566C9A">
        <w:rPr>
          <w:rFonts w:ascii="Arial" w:hAnsi="Arial" w:cs="Arial"/>
          <w:color w:val="000000" w:themeColor="text1"/>
        </w:rPr>
        <w:t>research group.</w:t>
      </w:r>
    </w:p>
    <w:p w14:paraId="4F8FCACE" w14:textId="77777777" w:rsidR="00E63732" w:rsidRDefault="00E63732">
      <w:pPr>
        <w:suppressAutoHyphens w:val="0"/>
        <w:rPr>
          <w:rFonts w:ascii="Arial" w:hAnsi="Arial" w:cs="Arial"/>
          <w:b/>
          <w:color w:val="000000" w:themeColor="text1"/>
          <w:u w:val="single"/>
        </w:rPr>
      </w:pPr>
    </w:p>
    <w:p w14:paraId="5A641B59" w14:textId="77777777" w:rsidR="00E63732" w:rsidRDefault="00E63732" w:rsidP="00E63732">
      <w:pPr>
        <w:ind w:right="85"/>
        <w:jc w:val="both"/>
        <w:rPr>
          <w:rFonts w:ascii="Arial" w:hAnsi="Arial" w:cs="Arial"/>
          <w:b/>
          <w:color w:val="000000" w:themeColor="text1"/>
        </w:rPr>
      </w:pPr>
      <w:r w:rsidRPr="00566C9A">
        <w:rPr>
          <w:rFonts w:ascii="Arial" w:hAnsi="Arial" w:cs="Arial"/>
          <w:b/>
          <w:color w:val="000000" w:themeColor="text1"/>
        </w:rPr>
        <w:t>Consultants</w:t>
      </w:r>
    </w:p>
    <w:p w14:paraId="4D7A0F5B" w14:textId="77777777" w:rsidR="00E63732" w:rsidRPr="00566C9A" w:rsidRDefault="00E63732" w:rsidP="00E63732">
      <w:pPr>
        <w:ind w:right="85"/>
        <w:jc w:val="both"/>
        <w:rPr>
          <w:rFonts w:ascii="Arial" w:hAnsi="Arial" w:cs="Arial"/>
          <w:b/>
          <w:color w:val="000000" w:themeColor="text1"/>
        </w:rPr>
      </w:pPr>
    </w:p>
    <w:p w14:paraId="5EABF0B8" w14:textId="77777777" w:rsidR="00E63732" w:rsidRDefault="00E63732" w:rsidP="00E63732">
      <w:pPr>
        <w:ind w:right="85"/>
        <w:jc w:val="both"/>
        <w:rPr>
          <w:rFonts w:ascii="Arial" w:hAnsi="Arial" w:cs="Arial"/>
          <w:color w:val="000000" w:themeColor="text1"/>
        </w:rPr>
      </w:pPr>
      <w:r w:rsidRPr="00566C9A">
        <w:rPr>
          <w:rFonts w:ascii="Arial" w:hAnsi="Arial" w:cs="Arial"/>
          <w:color w:val="000000" w:themeColor="text1"/>
        </w:rPr>
        <w:t>Dr Morag Barron</w:t>
      </w:r>
      <w:r>
        <w:rPr>
          <w:rFonts w:ascii="Arial" w:hAnsi="Arial" w:cs="Arial"/>
          <w:color w:val="000000" w:themeColor="text1"/>
        </w:rPr>
        <w:t xml:space="preserve"> (Clinical Lead – GI)</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p>
    <w:p w14:paraId="053EBACF"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D</w:t>
      </w:r>
      <w:r>
        <w:rPr>
          <w:rFonts w:ascii="Arial" w:hAnsi="Arial" w:cs="Arial"/>
          <w:color w:val="000000" w:themeColor="text1"/>
        </w:rPr>
        <w:t>r</w:t>
      </w:r>
      <w:r w:rsidRPr="00566C9A">
        <w:rPr>
          <w:rFonts w:ascii="Arial" w:hAnsi="Arial" w:cs="Arial"/>
          <w:color w:val="000000" w:themeColor="text1"/>
        </w:rPr>
        <w:t xml:space="preserve"> James Cotton</w:t>
      </w:r>
      <w:r>
        <w:rPr>
          <w:rFonts w:ascii="Arial" w:hAnsi="Arial" w:cs="Arial"/>
          <w:color w:val="000000" w:themeColor="text1"/>
        </w:rPr>
        <w:t xml:space="preserve"> (Interim Medical Director)</w:t>
      </w:r>
    </w:p>
    <w:p w14:paraId="52914342"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 xml:space="preserve">Dr Evangelos </w:t>
      </w:r>
      <w:proofErr w:type="spellStart"/>
      <w:r w:rsidRPr="00566C9A">
        <w:rPr>
          <w:rFonts w:ascii="Arial" w:hAnsi="Arial" w:cs="Arial"/>
          <w:color w:val="000000" w:themeColor="text1"/>
        </w:rPr>
        <w:t>Dalakas</w:t>
      </w:r>
      <w:proofErr w:type="spellEnd"/>
    </w:p>
    <w:p w14:paraId="29CE0D53"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Prof John Dillon</w:t>
      </w:r>
      <w:r>
        <w:rPr>
          <w:rFonts w:ascii="Arial" w:hAnsi="Arial" w:cs="Arial"/>
          <w:color w:val="000000" w:themeColor="text1"/>
        </w:rPr>
        <w:t xml:space="preserve"> (University)</w:t>
      </w:r>
    </w:p>
    <w:p w14:paraId="60E1F487" w14:textId="77777777" w:rsidR="00E63732" w:rsidRDefault="00E63732" w:rsidP="00E63732">
      <w:pPr>
        <w:ind w:right="85"/>
        <w:jc w:val="both"/>
        <w:rPr>
          <w:rFonts w:ascii="Arial" w:hAnsi="Arial" w:cs="Arial"/>
          <w:color w:val="000000" w:themeColor="text1"/>
        </w:rPr>
      </w:pPr>
      <w:r w:rsidRPr="00566C9A">
        <w:rPr>
          <w:rFonts w:ascii="Arial" w:hAnsi="Arial" w:cs="Arial"/>
          <w:color w:val="000000" w:themeColor="text1"/>
        </w:rPr>
        <w:t>Dr Max Groome</w:t>
      </w:r>
    </w:p>
    <w:p w14:paraId="576ED4E7" w14:textId="77777777" w:rsidR="00E63732" w:rsidRPr="00566C9A" w:rsidRDefault="00E63732" w:rsidP="00E63732">
      <w:pPr>
        <w:ind w:right="85"/>
        <w:jc w:val="both"/>
        <w:rPr>
          <w:rFonts w:ascii="Arial" w:hAnsi="Arial" w:cs="Arial"/>
          <w:color w:val="000000" w:themeColor="text1"/>
        </w:rPr>
      </w:pPr>
      <w:r>
        <w:rPr>
          <w:rFonts w:ascii="Arial" w:hAnsi="Arial" w:cs="Arial"/>
          <w:color w:val="000000" w:themeColor="text1"/>
        </w:rPr>
        <w:t>Dr Scott Levison</w:t>
      </w:r>
    </w:p>
    <w:p w14:paraId="51EA9768" w14:textId="77777777" w:rsidR="00E63732" w:rsidRDefault="00E63732" w:rsidP="00E63732">
      <w:pPr>
        <w:ind w:right="85"/>
        <w:jc w:val="both"/>
        <w:rPr>
          <w:rFonts w:ascii="Arial" w:hAnsi="Arial" w:cs="Arial"/>
          <w:color w:val="000000" w:themeColor="text1"/>
        </w:rPr>
      </w:pPr>
      <w:r>
        <w:rPr>
          <w:rFonts w:ascii="Arial" w:hAnsi="Arial" w:cs="Arial"/>
          <w:color w:val="000000" w:themeColor="text1"/>
        </w:rPr>
        <w:t>Dr Ruari Lynch</w:t>
      </w:r>
    </w:p>
    <w:p w14:paraId="2FBF436E" w14:textId="77777777" w:rsidR="00E63732" w:rsidRPr="00566C9A" w:rsidRDefault="00E63732" w:rsidP="00E63732">
      <w:pPr>
        <w:ind w:right="85"/>
        <w:jc w:val="both"/>
        <w:rPr>
          <w:rFonts w:ascii="Arial" w:hAnsi="Arial" w:cs="Arial"/>
          <w:color w:val="000000" w:themeColor="text1"/>
        </w:rPr>
      </w:pPr>
      <w:r>
        <w:rPr>
          <w:rFonts w:ascii="Arial" w:hAnsi="Arial" w:cs="Arial"/>
          <w:color w:val="000000" w:themeColor="text1"/>
        </w:rPr>
        <w:t>Dr Mairi McLean (University)</w:t>
      </w:r>
    </w:p>
    <w:p w14:paraId="578A93D9" w14:textId="77777777" w:rsidR="00E63732" w:rsidRDefault="00E63732" w:rsidP="00E63732">
      <w:pPr>
        <w:ind w:right="85"/>
        <w:jc w:val="both"/>
        <w:rPr>
          <w:rFonts w:ascii="Arial" w:hAnsi="Arial" w:cs="Arial"/>
          <w:color w:val="000000" w:themeColor="text1"/>
        </w:rPr>
      </w:pPr>
      <w:r>
        <w:rPr>
          <w:rFonts w:ascii="Arial" w:hAnsi="Arial" w:cs="Arial"/>
          <w:color w:val="000000" w:themeColor="text1"/>
        </w:rPr>
        <w:t>D</w:t>
      </w:r>
      <w:r w:rsidRPr="00566C9A">
        <w:rPr>
          <w:rFonts w:ascii="Arial" w:hAnsi="Arial" w:cs="Arial"/>
          <w:color w:val="000000" w:themeColor="text1"/>
        </w:rPr>
        <w:t>r Mike Miller</w:t>
      </w:r>
      <w:r>
        <w:rPr>
          <w:rFonts w:ascii="Arial" w:hAnsi="Arial" w:cs="Arial"/>
          <w:color w:val="000000" w:themeColor="text1"/>
        </w:rPr>
        <w:t xml:space="preserve"> (Clinical Lead – Endoscopy)</w:t>
      </w:r>
    </w:p>
    <w:p w14:paraId="7A56D135" w14:textId="77777777" w:rsidR="00E63732" w:rsidRDefault="00E63732" w:rsidP="00E63732">
      <w:pPr>
        <w:ind w:right="85"/>
        <w:jc w:val="both"/>
        <w:rPr>
          <w:rFonts w:ascii="Arial" w:hAnsi="Arial" w:cs="Arial"/>
          <w:color w:val="000000" w:themeColor="text1"/>
        </w:rPr>
      </w:pPr>
      <w:r w:rsidRPr="00566C9A">
        <w:rPr>
          <w:rFonts w:ascii="Arial" w:hAnsi="Arial" w:cs="Arial"/>
          <w:color w:val="000000" w:themeColor="text1"/>
        </w:rPr>
        <w:t>Dr Peter Moncur</w:t>
      </w:r>
    </w:p>
    <w:p w14:paraId="6FA4D53D"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Dr Craig Mowat</w:t>
      </w:r>
      <w:r>
        <w:rPr>
          <w:rFonts w:ascii="Arial" w:hAnsi="Arial" w:cs="Arial"/>
          <w:color w:val="000000" w:themeColor="text1"/>
        </w:rPr>
        <w:t xml:space="preserve"> (University)</w:t>
      </w:r>
    </w:p>
    <w:p w14:paraId="21957016" w14:textId="77777777" w:rsidR="00E63732" w:rsidRDefault="00E63732" w:rsidP="00E63732">
      <w:pPr>
        <w:ind w:right="85"/>
        <w:jc w:val="both"/>
        <w:rPr>
          <w:rFonts w:ascii="Arial" w:hAnsi="Arial" w:cs="Arial"/>
          <w:color w:val="000000" w:themeColor="text1"/>
        </w:rPr>
      </w:pPr>
      <w:r>
        <w:rPr>
          <w:rFonts w:ascii="Arial" w:hAnsi="Arial" w:cs="Arial"/>
          <w:color w:val="000000" w:themeColor="text1"/>
        </w:rPr>
        <w:t>Dr Jacqueline Paterson</w:t>
      </w:r>
    </w:p>
    <w:p w14:paraId="7CF9B742" w14:textId="77777777" w:rsidR="00E63732" w:rsidRDefault="00E63732" w:rsidP="00E63732">
      <w:pPr>
        <w:rPr>
          <w:rFonts w:ascii="Arial" w:hAnsi="Arial" w:cs="Arial"/>
          <w:color w:val="000000" w:themeColor="text1"/>
        </w:rPr>
      </w:pPr>
      <w:r>
        <w:rPr>
          <w:rFonts w:ascii="Arial" w:hAnsi="Arial" w:cs="Arial"/>
          <w:color w:val="000000" w:themeColor="text1"/>
        </w:rPr>
        <w:t>Dr John Todd</w:t>
      </w:r>
    </w:p>
    <w:p w14:paraId="12F852D2" w14:textId="77777777" w:rsidR="00872FEA" w:rsidRDefault="00872FEA">
      <w:pPr>
        <w:suppressAutoHyphens w:val="0"/>
        <w:rPr>
          <w:rFonts w:ascii="Arial" w:hAnsi="Arial" w:cs="Arial"/>
          <w:b/>
          <w:color w:val="000000" w:themeColor="text1"/>
          <w:u w:val="single"/>
        </w:rPr>
      </w:pPr>
      <w:r>
        <w:rPr>
          <w:rFonts w:ascii="Arial" w:hAnsi="Arial" w:cs="Arial"/>
          <w:b/>
          <w:color w:val="000000" w:themeColor="text1"/>
          <w:u w:val="single"/>
        </w:rPr>
        <w:br w:type="page"/>
      </w:r>
    </w:p>
    <w:p w14:paraId="5B8DEEDF" w14:textId="77777777" w:rsidR="00E63732" w:rsidRPr="00872FEA" w:rsidRDefault="00E63732" w:rsidP="00E63732">
      <w:pPr>
        <w:ind w:right="85"/>
        <w:jc w:val="both"/>
        <w:rPr>
          <w:rFonts w:ascii="Arial" w:hAnsi="Arial" w:cs="Arial"/>
          <w:b/>
          <w:color w:val="000000" w:themeColor="text1"/>
        </w:rPr>
      </w:pPr>
      <w:r>
        <w:rPr>
          <w:rFonts w:ascii="Arial" w:hAnsi="Arial" w:cs="Arial"/>
          <w:b/>
          <w:color w:val="000000" w:themeColor="text1"/>
        </w:rPr>
        <w:lastRenderedPageBreak/>
        <w:t xml:space="preserve">Locum </w:t>
      </w:r>
      <w:r w:rsidRPr="00872FEA">
        <w:rPr>
          <w:rFonts w:ascii="Arial" w:hAnsi="Arial" w:cs="Arial"/>
          <w:b/>
          <w:color w:val="000000" w:themeColor="text1"/>
        </w:rPr>
        <w:t xml:space="preserve">Consultant Gastroenterologist </w:t>
      </w:r>
      <w:r>
        <w:rPr>
          <w:rFonts w:ascii="Arial" w:hAnsi="Arial" w:cs="Arial"/>
          <w:b/>
          <w:color w:val="000000" w:themeColor="text1"/>
        </w:rPr>
        <w:t xml:space="preserve">10 PA </w:t>
      </w:r>
    </w:p>
    <w:p w14:paraId="6F11BDC5" w14:textId="77777777" w:rsidR="00E63732" w:rsidRPr="00566C9A" w:rsidRDefault="00E63732" w:rsidP="00E63732">
      <w:pPr>
        <w:ind w:right="85"/>
        <w:jc w:val="both"/>
        <w:rPr>
          <w:rFonts w:ascii="Arial" w:hAnsi="Arial" w:cs="Arial"/>
          <w:color w:val="000000" w:themeColor="text1"/>
        </w:rPr>
      </w:pPr>
    </w:p>
    <w:p w14:paraId="16AA29D4"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 xml:space="preserve">The successful applicant will </w:t>
      </w:r>
      <w:r>
        <w:rPr>
          <w:rFonts w:ascii="Arial" w:hAnsi="Arial" w:cs="Arial"/>
          <w:color w:val="000000" w:themeColor="text1"/>
        </w:rPr>
        <w:t>contribute to the inpatient care of gastroenterology patients – working with the existing liver and luminal teams.  They will also contribute to outpatient workload of the department with general gastroenterology (and the option for subspecialty clinics) and endoscopy sessions.  OP duties will take place on the Ninewells and PRI sites.</w:t>
      </w:r>
    </w:p>
    <w:p w14:paraId="191355DA" w14:textId="77777777" w:rsidR="00E63732" w:rsidRDefault="00E63732" w:rsidP="00E63732">
      <w:pPr>
        <w:suppressAutoHyphens w:val="0"/>
        <w:rPr>
          <w:rFonts w:ascii="Arial" w:hAnsi="Arial" w:cs="Arial"/>
        </w:rPr>
      </w:pPr>
    </w:p>
    <w:p w14:paraId="15D149A4" w14:textId="77777777" w:rsidR="00E63732" w:rsidRPr="00DA45CB" w:rsidRDefault="00E63732" w:rsidP="00E63732">
      <w:pPr>
        <w:suppressAutoHyphens w:val="0"/>
        <w:rPr>
          <w:rFonts w:ascii="Arial" w:hAnsi="Arial" w:cs="Arial"/>
        </w:rPr>
      </w:pPr>
      <w:r>
        <w:rPr>
          <w:rFonts w:ascii="Arial" w:hAnsi="Arial" w:cs="Arial"/>
        </w:rPr>
        <w:t>Specialist interests, including advanced endoscopic techniques may be able to be accommodated.</w:t>
      </w:r>
    </w:p>
    <w:p w14:paraId="1902C9F5" w14:textId="77777777" w:rsidR="00E63732" w:rsidRDefault="00E63732" w:rsidP="00E63732">
      <w:pPr>
        <w:suppressAutoHyphens w:val="0"/>
      </w:pPr>
    </w:p>
    <w:p w14:paraId="1B0A8A62" w14:textId="77777777" w:rsidR="00E63732" w:rsidRDefault="00E63732" w:rsidP="00E63732">
      <w:pPr>
        <w:ind w:right="85"/>
        <w:jc w:val="both"/>
        <w:rPr>
          <w:rFonts w:ascii="Arial" w:hAnsi="Arial" w:cs="Arial"/>
          <w:color w:val="000000" w:themeColor="text1"/>
        </w:rPr>
      </w:pPr>
      <w:r w:rsidRPr="00E63732">
        <w:rPr>
          <w:rFonts w:ascii="Arial" w:hAnsi="Arial" w:cs="Arial"/>
          <w:color w:val="000000" w:themeColor="text1"/>
        </w:rPr>
        <w:t>There may be a requirement to contribute to the out of hours gastroenterology rota, but there is no contribution to acute medicine rota.</w:t>
      </w:r>
    </w:p>
    <w:p w14:paraId="7E6B84ED" w14:textId="77777777" w:rsidR="00E63732" w:rsidRPr="00E63732" w:rsidRDefault="00E63732" w:rsidP="00E63732">
      <w:pPr>
        <w:ind w:right="85"/>
        <w:jc w:val="both"/>
        <w:rPr>
          <w:rFonts w:ascii="Arial" w:hAnsi="Arial" w:cs="Arial"/>
          <w:color w:val="000000" w:themeColor="text1"/>
        </w:rPr>
      </w:pPr>
    </w:p>
    <w:p w14:paraId="7DD76231" w14:textId="77777777" w:rsidR="00E63732" w:rsidRDefault="00E63732" w:rsidP="00E63732">
      <w:pPr>
        <w:ind w:right="85"/>
        <w:jc w:val="both"/>
        <w:rPr>
          <w:rFonts w:ascii="Arial" w:hAnsi="Arial" w:cs="Arial"/>
          <w:b/>
          <w:color w:val="000000" w:themeColor="text1"/>
        </w:rPr>
      </w:pPr>
      <w:r w:rsidRPr="00566C9A">
        <w:rPr>
          <w:rFonts w:ascii="Arial" w:hAnsi="Arial" w:cs="Arial"/>
          <w:b/>
          <w:color w:val="000000" w:themeColor="text1"/>
        </w:rPr>
        <w:t>Educational and clinical supervision and teaching</w:t>
      </w:r>
    </w:p>
    <w:p w14:paraId="4ADEF9CC" w14:textId="77777777" w:rsidR="00E63732" w:rsidRPr="00566C9A" w:rsidRDefault="00E63732" w:rsidP="00E63732">
      <w:pPr>
        <w:ind w:right="85"/>
        <w:jc w:val="both"/>
        <w:rPr>
          <w:rFonts w:ascii="Arial" w:hAnsi="Arial" w:cs="Arial"/>
          <w:b/>
          <w:color w:val="000000" w:themeColor="text1"/>
        </w:rPr>
      </w:pPr>
    </w:p>
    <w:p w14:paraId="6721D4A8" w14:textId="77777777"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The post holder w</w:t>
      </w:r>
      <w:r>
        <w:rPr>
          <w:rFonts w:ascii="Arial" w:hAnsi="Arial" w:cs="Arial"/>
          <w:color w:val="000000" w:themeColor="text1"/>
        </w:rPr>
        <w:t>ill be expected to contribute to</w:t>
      </w:r>
      <w:r w:rsidRPr="00566C9A">
        <w:rPr>
          <w:rFonts w:ascii="Arial" w:hAnsi="Arial" w:cs="Arial"/>
          <w:color w:val="000000" w:themeColor="text1"/>
        </w:rPr>
        <w:t xml:space="preserve"> undergraduate </w:t>
      </w:r>
      <w:r>
        <w:rPr>
          <w:rFonts w:ascii="Arial" w:hAnsi="Arial" w:cs="Arial"/>
          <w:color w:val="000000" w:themeColor="text1"/>
        </w:rPr>
        <w:t xml:space="preserve">and postgraduate </w:t>
      </w:r>
      <w:r w:rsidRPr="00566C9A">
        <w:rPr>
          <w:rFonts w:ascii="Arial" w:hAnsi="Arial" w:cs="Arial"/>
          <w:color w:val="000000" w:themeColor="text1"/>
        </w:rPr>
        <w:t>teaching within the gastroenterology curriculum.</w:t>
      </w:r>
    </w:p>
    <w:p w14:paraId="17E83129" w14:textId="77777777" w:rsidR="00E63732" w:rsidRPr="00566C9A" w:rsidRDefault="00E63732" w:rsidP="00E63732">
      <w:pPr>
        <w:ind w:right="85"/>
        <w:jc w:val="both"/>
        <w:rPr>
          <w:rFonts w:ascii="Arial" w:hAnsi="Arial" w:cs="Arial"/>
          <w:b/>
          <w:color w:val="000000" w:themeColor="text1"/>
        </w:rPr>
      </w:pPr>
    </w:p>
    <w:p w14:paraId="41B2BC99" w14:textId="77777777" w:rsidR="00E63732" w:rsidRDefault="00E63732" w:rsidP="00E63732">
      <w:pPr>
        <w:ind w:right="85"/>
        <w:jc w:val="both"/>
        <w:rPr>
          <w:rFonts w:ascii="Arial" w:hAnsi="Arial" w:cs="Arial"/>
          <w:b/>
          <w:color w:val="000000" w:themeColor="text1"/>
        </w:rPr>
      </w:pPr>
      <w:r w:rsidRPr="00566C9A">
        <w:rPr>
          <w:rFonts w:ascii="Arial" w:hAnsi="Arial" w:cs="Arial"/>
          <w:b/>
          <w:color w:val="000000" w:themeColor="text1"/>
        </w:rPr>
        <w:t>R</w:t>
      </w:r>
      <w:r>
        <w:rPr>
          <w:rFonts w:ascii="Arial" w:hAnsi="Arial" w:cs="Arial"/>
          <w:b/>
          <w:color w:val="000000" w:themeColor="text1"/>
        </w:rPr>
        <w:t>esponsibility for Records Management</w:t>
      </w:r>
    </w:p>
    <w:p w14:paraId="00FA1719" w14:textId="77777777" w:rsidR="00E63732" w:rsidRDefault="00E63732" w:rsidP="00E63732">
      <w:pPr>
        <w:ind w:right="85"/>
        <w:jc w:val="both"/>
        <w:rPr>
          <w:rFonts w:ascii="Arial" w:hAnsi="Arial" w:cs="Arial"/>
          <w:b/>
          <w:color w:val="000000" w:themeColor="text1"/>
        </w:rPr>
      </w:pPr>
    </w:p>
    <w:p w14:paraId="1554C192" w14:textId="6B907F56" w:rsidR="00E63732" w:rsidRPr="00566C9A" w:rsidRDefault="00E63732" w:rsidP="00E63732">
      <w:pPr>
        <w:ind w:right="85"/>
        <w:jc w:val="both"/>
        <w:rPr>
          <w:rFonts w:ascii="Arial" w:hAnsi="Arial" w:cs="Arial"/>
          <w:color w:val="000000" w:themeColor="text1"/>
        </w:rPr>
      </w:pPr>
      <w:r w:rsidRPr="00566C9A">
        <w:rPr>
          <w:rFonts w:ascii="Arial" w:hAnsi="Arial" w:cs="Arial"/>
          <w:color w:val="000000" w:themeColor="text1"/>
        </w:rPr>
        <w:t xml:space="preserve">All records created in the course of the business of NHS Tayside are corporate records and are public records under the terms of the Public Records (Scotland) Act </w:t>
      </w:r>
      <w:r w:rsidR="003E54F4">
        <w:rPr>
          <w:rFonts w:ascii="Arial" w:hAnsi="Arial" w:cs="Arial"/>
          <w:color w:val="000000" w:themeColor="text1"/>
        </w:rPr>
        <w:t>2011</w:t>
      </w:r>
      <w:r w:rsidRPr="00566C9A">
        <w:rPr>
          <w:rFonts w:ascii="Arial" w:hAnsi="Arial" w:cs="Arial"/>
          <w:color w:val="000000" w:themeColor="text1"/>
        </w:rPr>
        <w:t>. This includes email messages and other electronic records. It is your responsibility to ensure that you keep appropriate records of your work in NHS Tayside and manage those records in keeping with NHS Tayside Records Management Policy and with any guidance produced by NHS Tayside specific to your employment.</w:t>
      </w:r>
    </w:p>
    <w:p w14:paraId="09CA0B32" w14:textId="7972BBE5" w:rsidR="00EF1BAF" w:rsidRPr="00D31D0F" w:rsidRDefault="00EF1BAF" w:rsidP="003E54F4">
      <w:pPr>
        <w:suppressAutoHyphens w:val="0"/>
        <w:rPr>
          <w:rFonts w:asciiTheme="minorHAnsi" w:hAnsiTheme="minorHAnsi"/>
          <w:color w:val="000000" w:themeColor="text1"/>
        </w:rPr>
      </w:pPr>
    </w:p>
    <w:sectPr w:rsidR="00EF1BAF" w:rsidRPr="00D31D0F" w:rsidSect="0030048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singleLevel"/>
    <w:tmpl w:val="00000005"/>
    <w:lvl w:ilvl="0">
      <w:start w:val="2"/>
      <w:numFmt w:val="decimal"/>
      <w:lvlText w:val="%1."/>
      <w:lvlJc w:val="left"/>
      <w:pPr>
        <w:tabs>
          <w:tab w:val="num" w:pos="360"/>
        </w:tabs>
        <w:ind w:left="360" w:hanging="360"/>
      </w:pPr>
      <w:rPr>
        <w:rFonts w:hint="default"/>
      </w:rPr>
    </w:lvl>
  </w:abstractNum>
  <w:abstractNum w:abstractNumId="2" w15:restartNumberingAfterBreak="0">
    <w:nsid w:val="00000008"/>
    <w:multiLevelType w:val="singleLevel"/>
    <w:tmpl w:val="00000008"/>
    <w:name w:val="WW8Num14"/>
    <w:lvl w:ilvl="0">
      <w:start w:val="1"/>
      <w:numFmt w:val="decimal"/>
      <w:lvlText w:val="%1."/>
      <w:lvlJc w:val="left"/>
      <w:pPr>
        <w:tabs>
          <w:tab w:val="num" w:pos="360"/>
        </w:tabs>
        <w:ind w:left="360" w:hanging="360"/>
      </w:pPr>
      <w:rPr>
        <w:rFonts w:hint="default"/>
      </w:rPr>
    </w:lvl>
  </w:abstractNum>
  <w:abstractNum w:abstractNumId="3" w15:restartNumberingAfterBreak="0">
    <w:nsid w:val="02DC5E33"/>
    <w:multiLevelType w:val="hybridMultilevel"/>
    <w:tmpl w:val="1CF2B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3C4F41"/>
    <w:multiLevelType w:val="hybridMultilevel"/>
    <w:tmpl w:val="68642ABE"/>
    <w:lvl w:ilvl="0" w:tplc="6C2077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D42B0E"/>
    <w:multiLevelType w:val="hybridMultilevel"/>
    <w:tmpl w:val="DD4E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22A9A"/>
    <w:multiLevelType w:val="hybridMultilevel"/>
    <w:tmpl w:val="22BE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5572531">
    <w:abstractNumId w:val="0"/>
  </w:num>
  <w:num w:numId="2" w16cid:durableId="489322862">
    <w:abstractNumId w:val="2"/>
  </w:num>
  <w:num w:numId="3" w16cid:durableId="1352874921">
    <w:abstractNumId w:val="1"/>
  </w:num>
  <w:num w:numId="4" w16cid:durableId="283000476">
    <w:abstractNumId w:val="6"/>
  </w:num>
  <w:num w:numId="5" w16cid:durableId="1764567790">
    <w:abstractNumId w:val="3"/>
  </w:num>
  <w:num w:numId="6" w16cid:durableId="1405839711">
    <w:abstractNumId w:val="4"/>
  </w:num>
  <w:num w:numId="7" w16cid:durableId="3708837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BAF"/>
    <w:rsid w:val="00021A47"/>
    <w:rsid w:val="000234C8"/>
    <w:rsid w:val="000837E6"/>
    <w:rsid w:val="000844E9"/>
    <w:rsid w:val="00087B44"/>
    <w:rsid w:val="000C5D91"/>
    <w:rsid w:val="000F1A2A"/>
    <w:rsid w:val="00103FB1"/>
    <w:rsid w:val="001109AF"/>
    <w:rsid w:val="0015527A"/>
    <w:rsid w:val="001563AD"/>
    <w:rsid w:val="001615D2"/>
    <w:rsid w:val="00196A6E"/>
    <w:rsid w:val="001B300C"/>
    <w:rsid w:val="001C1C7E"/>
    <w:rsid w:val="00253F79"/>
    <w:rsid w:val="00290932"/>
    <w:rsid w:val="002E097F"/>
    <w:rsid w:val="0030048F"/>
    <w:rsid w:val="0034686B"/>
    <w:rsid w:val="00380BF2"/>
    <w:rsid w:val="003A3CD3"/>
    <w:rsid w:val="003C39EE"/>
    <w:rsid w:val="003E54F4"/>
    <w:rsid w:val="00420020"/>
    <w:rsid w:val="00441BD3"/>
    <w:rsid w:val="004A2883"/>
    <w:rsid w:val="004A2F04"/>
    <w:rsid w:val="00502901"/>
    <w:rsid w:val="005536FB"/>
    <w:rsid w:val="00566C9A"/>
    <w:rsid w:val="005B1232"/>
    <w:rsid w:val="005F23C5"/>
    <w:rsid w:val="0061173B"/>
    <w:rsid w:val="00650775"/>
    <w:rsid w:val="00654AB0"/>
    <w:rsid w:val="00691C6D"/>
    <w:rsid w:val="006B654E"/>
    <w:rsid w:val="006B767B"/>
    <w:rsid w:val="00754B75"/>
    <w:rsid w:val="007930D9"/>
    <w:rsid w:val="007A2EF6"/>
    <w:rsid w:val="007E5F65"/>
    <w:rsid w:val="008040F4"/>
    <w:rsid w:val="00841B69"/>
    <w:rsid w:val="0084226A"/>
    <w:rsid w:val="00863674"/>
    <w:rsid w:val="00872FEA"/>
    <w:rsid w:val="008B04C3"/>
    <w:rsid w:val="008B2710"/>
    <w:rsid w:val="008E0434"/>
    <w:rsid w:val="008E27FA"/>
    <w:rsid w:val="008F48B7"/>
    <w:rsid w:val="00921829"/>
    <w:rsid w:val="009222C8"/>
    <w:rsid w:val="00925F08"/>
    <w:rsid w:val="00993B0C"/>
    <w:rsid w:val="009A56CE"/>
    <w:rsid w:val="009C0681"/>
    <w:rsid w:val="00A36B17"/>
    <w:rsid w:val="00A44C1C"/>
    <w:rsid w:val="00A4687C"/>
    <w:rsid w:val="00A662A6"/>
    <w:rsid w:val="00A86C6D"/>
    <w:rsid w:val="00AF5A07"/>
    <w:rsid w:val="00B025E0"/>
    <w:rsid w:val="00B40951"/>
    <w:rsid w:val="00B41E21"/>
    <w:rsid w:val="00B50A4E"/>
    <w:rsid w:val="00B85812"/>
    <w:rsid w:val="00B91AF6"/>
    <w:rsid w:val="00BA26C9"/>
    <w:rsid w:val="00BD18F2"/>
    <w:rsid w:val="00BD7EA7"/>
    <w:rsid w:val="00BF3401"/>
    <w:rsid w:val="00C57434"/>
    <w:rsid w:val="00C8484F"/>
    <w:rsid w:val="00D31D0F"/>
    <w:rsid w:val="00D54623"/>
    <w:rsid w:val="00D72E12"/>
    <w:rsid w:val="00D829F0"/>
    <w:rsid w:val="00D86D43"/>
    <w:rsid w:val="00DA45CB"/>
    <w:rsid w:val="00DB1F85"/>
    <w:rsid w:val="00DB745B"/>
    <w:rsid w:val="00E36721"/>
    <w:rsid w:val="00E6325F"/>
    <w:rsid w:val="00E63732"/>
    <w:rsid w:val="00ED2309"/>
    <w:rsid w:val="00ED7B36"/>
    <w:rsid w:val="00EF1BAF"/>
    <w:rsid w:val="00EF2312"/>
    <w:rsid w:val="00F13DF5"/>
    <w:rsid w:val="00F376A4"/>
    <w:rsid w:val="00F37BFA"/>
    <w:rsid w:val="00F51D49"/>
    <w:rsid w:val="00F6436D"/>
    <w:rsid w:val="00F64E79"/>
    <w:rsid w:val="00F867BF"/>
    <w:rsid w:val="00FD2653"/>
    <w:rsid w:val="00FF7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ACF84"/>
  <w15:docId w15:val="{BE37968D-DBC2-4D3B-BE0D-8DC95082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BAF"/>
    <w:pPr>
      <w:suppressAutoHyphens/>
    </w:pPr>
    <w:rPr>
      <w:rFonts w:ascii="Times New Roman" w:eastAsia="Times New Roman" w:hAnsi="Times New Roman" w:cs="Times New Roman"/>
      <w:lang w:val="en-GB" w:eastAsia="ar-SA"/>
    </w:rPr>
  </w:style>
  <w:style w:type="paragraph" w:styleId="Heading1">
    <w:name w:val="heading 1"/>
    <w:basedOn w:val="Normal"/>
    <w:next w:val="Normal"/>
    <w:link w:val="Heading1Char"/>
    <w:qFormat/>
    <w:rsid w:val="00EF1BAF"/>
    <w:pPr>
      <w:keepNext/>
      <w:numPr>
        <w:numId w:val="1"/>
      </w:numPr>
      <w:outlineLvl w:val="0"/>
    </w:pPr>
    <w:rPr>
      <w:rFonts w:ascii="Trebuchet MS" w:hAnsi="Trebuchet MS" w:cs="Trebuchet MS"/>
      <w:b/>
      <w:bCs/>
      <w:sz w:val="22"/>
    </w:rPr>
  </w:style>
  <w:style w:type="paragraph" w:styleId="Heading2">
    <w:name w:val="heading 2"/>
    <w:basedOn w:val="Normal"/>
    <w:next w:val="Normal"/>
    <w:link w:val="Heading2Char"/>
    <w:qFormat/>
    <w:rsid w:val="00EF1BAF"/>
    <w:pPr>
      <w:keepNext/>
      <w:numPr>
        <w:ilvl w:val="1"/>
        <w:numId w:val="1"/>
      </w:numPr>
      <w:jc w:val="center"/>
      <w:outlineLvl w:val="1"/>
    </w:pPr>
    <w:rPr>
      <w:rFonts w:ascii="Trebuchet MS" w:hAnsi="Trebuchet MS" w:cs="Trebuchet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BAF"/>
    <w:rPr>
      <w:rFonts w:ascii="Trebuchet MS" w:eastAsia="Times New Roman" w:hAnsi="Trebuchet MS" w:cs="Trebuchet MS"/>
      <w:b/>
      <w:bCs/>
      <w:sz w:val="22"/>
      <w:lang w:val="en-GB" w:eastAsia="ar-SA"/>
    </w:rPr>
  </w:style>
  <w:style w:type="character" w:customStyle="1" w:styleId="Heading2Char">
    <w:name w:val="Heading 2 Char"/>
    <w:basedOn w:val="DefaultParagraphFont"/>
    <w:link w:val="Heading2"/>
    <w:rsid w:val="00EF1BAF"/>
    <w:rPr>
      <w:rFonts w:ascii="Trebuchet MS" w:eastAsia="Times New Roman" w:hAnsi="Trebuchet MS" w:cs="Trebuchet MS"/>
      <w:b/>
      <w:bCs/>
      <w:sz w:val="22"/>
      <w:lang w:val="en-GB" w:eastAsia="ar-SA"/>
    </w:rPr>
  </w:style>
  <w:style w:type="character" w:styleId="Hyperlink">
    <w:name w:val="Hyperlink"/>
    <w:rsid w:val="00F6436D"/>
    <w:rPr>
      <w:color w:val="0000FF"/>
      <w:u w:val="single"/>
    </w:rPr>
  </w:style>
  <w:style w:type="paragraph" w:styleId="ListParagraph">
    <w:name w:val="List Paragraph"/>
    <w:basedOn w:val="Normal"/>
    <w:uiPriority w:val="34"/>
    <w:qFormat/>
    <w:rsid w:val="0015527A"/>
    <w:pPr>
      <w:ind w:left="720"/>
      <w:contextualSpacing/>
    </w:pPr>
  </w:style>
  <w:style w:type="paragraph" w:styleId="BodyText2">
    <w:name w:val="Body Text 2"/>
    <w:basedOn w:val="Normal"/>
    <w:link w:val="BodyText2Char"/>
    <w:rsid w:val="0015527A"/>
    <w:pPr>
      <w:tabs>
        <w:tab w:val="left" w:pos="0"/>
      </w:tabs>
      <w:suppressAutoHyphens w:val="0"/>
    </w:pPr>
    <w:rPr>
      <w:rFonts w:ascii="Palatino Linotype" w:hAnsi="Palatino Linotype"/>
      <w:sz w:val="22"/>
      <w:szCs w:val="20"/>
      <w:lang w:val="en-US" w:eastAsia="en-US"/>
    </w:rPr>
  </w:style>
  <w:style w:type="character" w:customStyle="1" w:styleId="BodyText2Char">
    <w:name w:val="Body Text 2 Char"/>
    <w:basedOn w:val="DefaultParagraphFont"/>
    <w:link w:val="BodyText2"/>
    <w:rsid w:val="0015527A"/>
    <w:rPr>
      <w:rFonts w:ascii="Palatino Linotype" w:eastAsia="Times New Roman" w:hAnsi="Palatino Linotype" w:cs="Times New Roman"/>
      <w:sz w:val="22"/>
      <w:szCs w:val="20"/>
    </w:rPr>
  </w:style>
  <w:style w:type="paragraph" w:customStyle="1" w:styleId="Normal1">
    <w:name w:val="Normal1"/>
    <w:basedOn w:val="Normal"/>
    <w:rsid w:val="006B654E"/>
    <w:pPr>
      <w:suppressAutoHyphens w:val="0"/>
    </w:pPr>
    <w:rPr>
      <w:sz w:val="20"/>
      <w:szCs w:val="20"/>
      <w:lang w:eastAsia="en-GB"/>
    </w:rPr>
  </w:style>
  <w:style w:type="character" w:customStyle="1" w:styleId="normalchar1">
    <w:name w:val="normal__char1"/>
    <w:rsid w:val="006B654E"/>
    <w:rPr>
      <w:rFonts w:ascii="Times New Roman" w:hAnsi="Times New Roman" w:cs="Times New Roman" w:hint="default"/>
      <w:strike w:val="0"/>
      <w:dstrike w:val="0"/>
      <w:sz w:val="20"/>
      <w:szCs w:val="20"/>
      <w:u w:val="none"/>
      <w:effect w:val="none"/>
    </w:rPr>
  </w:style>
  <w:style w:type="paragraph" w:styleId="BodyText">
    <w:name w:val="Body Text"/>
    <w:basedOn w:val="Normal"/>
    <w:link w:val="BodyTextChar"/>
    <w:uiPriority w:val="99"/>
    <w:unhideWhenUsed/>
    <w:rsid w:val="00A86C6D"/>
    <w:pPr>
      <w:spacing w:after="120"/>
    </w:pPr>
  </w:style>
  <w:style w:type="character" w:customStyle="1" w:styleId="BodyTextChar">
    <w:name w:val="Body Text Char"/>
    <w:basedOn w:val="DefaultParagraphFont"/>
    <w:link w:val="BodyText"/>
    <w:uiPriority w:val="99"/>
    <w:rsid w:val="00A86C6D"/>
    <w:rPr>
      <w:rFonts w:ascii="Times New Roman" w:eastAsia="Times New Roman" w:hAnsi="Times New Roman" w:cs="Times New Roman"/>
      <w:lang w:val="en-GB" w:eastAsia="ar-SA"/>
    </w:rPr>
  </w:style>
  <w:style w:type="paragraph" w:styleId="DocumentMap">
    <w:name w:val="Document Map"/>
    <w:basedOn w:val="Normal"/>
    <w:link w:val="DocumentMapChar"/>
    <w:uiPriority w:val="99"/>
    <w:semiHidden/>
    <w:unhideWhenUsed/>
    <w:rsid w:val="000C5D91"/>
  </w:style>
  <w:style w:type="character" w:customStyle="1" w:styleId="DocumentMapChar">
    <w:name w:val="Document Map Char"/>
    <w:basedOn w:val="DefaultParagraphFont"/>
    <w:link w:val="DocumentMap"/>
    <w:uiPriority w:val="99"/>
    <w:semiHidden/>
    <w:rsid w:val="000C5D91"/>
    <w:rPr>
      <w:rFonts w:ascii="Times New Roman" w:eastAsia="Times New Roman" w:hAnsi="Times New Roman" w:cs="Times New Roman"/>
      <w:lang w:val="en-GB" w:eastAsia="ar-SA"/>
    </w:rPr>
  </w:style>
  <w:style w:type="table" w:styleId="TableGrid">
    <w:name w:val="Table Grid"/>
    <w:basedOn w:val="TableNormal"/>
    <w:uiPriority w:val="39"/>
    <w:rsid w:val="0086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048F"/>
    <w:rPr>
      <w:rFonts w:ascii="Tahoma" w:hAnsi="Tahoma" w:cs="Tahoma"/>
      <w:sz w:val="16"/>
      <w:szCs w:val="16"/>
    </w:rPr>
  </w:style>
  <w:style w:type="character" w:customStyle="1" w:styleId="BalloonTextChar">
    <w:name w:val="Balloon Text Char"/>
    <w:basedOn w:val="DefaultParagraphFont"/>
    <w:link w:val="BalloonText"/>
    <w:uiPriority w:val="99"/>
    <w:semiHidden/>
    <w:rsid w:val="0030048F"/>
    <w:rPr>
      <w:rFonts w:ascii="Tahoma" w:eastAsia="Times New Roman" w:hAnsi="Tahoma" w:cs="Tahoma"/>
      <w:sz w:val="16"/>
      <w:szCs w:val="16"/>
      <w:lang w:val="en-GB" w:eastAsia="ar-SA"/>
    </w:rPr>
  </w:style>
  <w:style w:type="paragraph" w:styleId="Revision">
    <w:name w:val="Revision"/>
    <w:hidden/>
    <w:uiPriority w:val="99"/>
    <w:semiHidden/>
    <w:rsid w:val="003E54F4"/>
    <w:rPr>
      <w:rFonts w:ascii="Times New Roman" w:eastAsia="Times New Roman" w:hAnsi="Times New Roman" w:cs="Times New Roman"/>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Cotton</dc:creator>
  <cp:lastModifiedBy>Sharon McIntosh</cp:lastModifiedBy>
  <cp:revision>2</cp:revision>
  <dcterms:created xsi:type="dcterms:W3CDTF">2024-05-09T13:49:00Z</dcterms:created>
  <dcterms:modified xsi:type="dcterms:W3CDTF">2024-05-09T13:49:00Z</dcterms:modified>
</cp:coreProperties>
</file>