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BDA0C6" w14:textId="77777777" w:rsidR="00550403" w:rsidRDefault="00175CA5">
      <w:r>
        <w:rPr>
          <w:noProof/>
          <w:lang w:eastAsia="en-GB"/>
        </w:rPr>
        <w:drawing>
          <wp:anchor distT="0" distB="0" distL="114300" distR="114300" simplePos="0" relativeHeight="251657728" behindDoc="1" locked="0" layoutInCell="1" allowOverlap="1" wp14:anchorId="3BD9E4F9" wp14:editId="7712CD16">
            <wp:simplePos x="0" y="0"/>
            <wp:positionH relativeFrom="margin">
              <wp:posOffset>-895350</wp:posOffset>
            </wp:positionH>
            <wp:positionV relativeFrom="margin">
              <wp:posOffset>-91440</wp:posOffset>
            </wp:positionV>
            <wp:extent cx="7509510" cy="10614660"/>
            <wp:effectExtent l="0" t="0" r="0" b="0"/>
            <wp:wrapNone/>
            <wp:docPr id="9" name="Picture 1" descr="MIS14-268-GD Candidate Information Pack_INSERTS_Page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S14-268-GD Candidate Information Pack_INSERTS_Page_01.jpg"/>
                    <pic:cNvPicPr>
                      <a:picLocks noChangeAspect="1" noChangeArrowheads="1"/>
                    </pic:cNvPicPr>
                  </pic:nvPicPr>
                  <pic:blipFill>
                    <a:blip r:embed="rId8" cstate="print"/>
                    <a:srcRect/>
                    <a:stretch>
                      <a:fillRect/>
                    </a:stretch>
                  </pic:blipFill>
                  <pic:spPr bwMode="auto">
                    <a:xfrm>
                      <a:off x="0" y="0"/>
                      <a:ext cx="7509510" cy="10614660"/>
                    </a:xfrm>
                    <a:prstGeom prst="rect">
                      <a:avLst/>
                    </a:prstGeom>
                    <a:noFill/>
                    <a:ln w="9525">
                      <a:noFill/>
                      <a:miter lim="800000"/>
                      <a:headEnd/>
                      <a:tailEnd/>
                    </a:ln>
                  </pic:spPr>
                </pic:pic>
              </a:graphicData>
            </a:graphic>
          </wp:anchor>
        </w:drawing>
      </w:r>
    </w:p>
    <w:p w14:paraId="6FCDD07A" w14:textId="77777777" w:rsidR="002D1897" w:rsidRDefault="002D1897"/>
    <w:p w14:paraId="45C3BE99" w14:textId="77777777" w:rsidR="002D1897" w:rsidRDefault="002D1897"/>
    <w:p w14:paraId="0173CB2D" w14:textId="77777777" w:rsidR="002D1897" w:rsidRDefault="002D1897"/>
    <w:p w14:paraId="52463DC9" w14:textId="77777777" w:rsidR="002D1897" w:rsidRDefault="002D1897"/>
    <w:p w14:paraId="6BBD29F3" w14:textId="77777777" w:rsidR="002D1897" w:rsidRDefault="002D1897"/>
    <w:p w14:paraId="52FF4417" w14:textId="77777777" w:rsidR="002D1897" w:rsidRDefault="002D1897">
      <w:r>
        <w:br w:type="page"/>
      </w:r>
    </w:p>
    <w:p w14:paraId="25E40717" w14:textId="77777777" w:rsidR="00AA7827" w:rsidRDefault="00175CA5">
      <w:r>
        <w:rPr>
          <w:noProof/>
          <w:lang w:eastAsia="en-GB"/>
        </w:rPr>
        <w:lastRenderedPageBreak/>
        <w:drawing>
          <wp:inline distT="0" distB="0" distL="0" distR="0" wp14:anchorId="66996AE9" wp14:editId="26A75E9D">
            <wp:extent cx="5724525" cy="6572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724525" cy="657225"/>
                    </a:xfrm>
                    <a:prstGeom prst="rect">
                      <a:avLst/>
                    </a:prstGeom>
                    <a:noFill/>
                    <a:ln w="9525">
                      <a:noFill/>
                      <a:miter lim="800000"/>
                      <a:headEnd/>
                      <a:tailEnd/>
                    </a:ln>
                  </pic:spPr>
                </pic:pic>
              </a:graphicData>
            </a:graphic>
          </wp:inline>
        </w:drawing>
      </w:r>
    </w:p>
    <w:p w14:paraId="37F0C3F0" w14:textId="77777777" w:rsidR="00AA7827" w:rsidRDefault="00AA7827"/>
    <w:p w14:paraId="2A99AC13" w14:textId="77777777" w:rsidR="00175CA5" w:rsidRDefault="00175CA5"/>
    <w:p w14:paraId="646B1F3B" w14:textId="243097C8" w:rsidR="00003D12" w:rsidRPr="006F3231" w:rsidRDefault="00114F3C" w:rsidP="00003D12">
      <w:pPr>
        <w:pStyle w:val="NoSpacing"/>
      </w:pPr>
      <w:r>
        <w:t xml:space="preserve">This post </w:t>
      </w:r>
      <w:r w:rsidR="00486CD5">
        <w:t xml:space="preserve">will complement the current team of </w:t>
      </w:r>
      <w:r w:rsidR="005605D9">
        <w:t>8</w:t>
      </w:r>
      <w:r w:rsidR="009336F0">
        <w:t xml:space="preserve"> </w:t>
      </w:r>
      <w:r w:rsidR="00FE1BBF" w:rsidRPr="006F3231">
        <w:t>Consultant</w:t>
      </w:r>
      <w:r w:rsidR="00003D12" w:rsidRPr="006F3231">
        <w:t xml:space="preserve"> Haematologist</w:t>
      </w:r>
      <w:r>
        <w:t>s</w:t>
      </w:r>
      <w:r w:rsidR="000E2618">
        <w:t xml:space="preserve">, 1 speciality registrar, </w:t>
      </w:r>
      <w:r w:rsidR="007B2257">
        <w:t>4 clinical fellows and 3 FY1/FY2 doctors</w:t>
      </w:r>
      <w:r w:rsidR="00003D12" w:rsidRPr="006F3231">
        <w:t xml:space="preserve"> to support the delivery and development of clinical and laboratory Haematology services within Ayrshire. The post is </w:t>
      </w:r>
      <w:r w:rsidR="00436C22">
        <w:t xml:space="preserve">based </w:t>
      </w:r>
      <w:r w:rsidR="00003D12" w:rsidRPr="0089363A">
        <w:t>with</w:t>
      </w:r>
      <w:r w:rsidR="00436C22" w:rsidRPr="0089363A">
        <w:t>in</w:t>
      </w:r>
      <w:r w:rsidR="00003D12" w:rsidRPr="0089363A">
        <w:t xml:space="preserve"> </w:t>
      </w:r>
      <w:r w:rsidR="00E17125" w:rsidRPr="0089363A">
        <w:rPr>
          <w:color w:val="000000" w:themeColor="text1"/>
        </w:rPr>
        <w:t xml:space="preserve">both Surgical and </w:t>
      </w:r>
      <w:r w:rsidR="00946E2A" w:rsidRPr="0089363A">
        <w:t xml:space="preserve">Diagnostic </w:t>
      </w:r>
      <w:r w:rsidR="00946E2A" w:rsidRPr="002D4315">
        <w:t>Services</w:t>
      </w:r>
      <w:r w:rsidR="00003D12" w:rsidRPr="002D4315">
        <w:t xml:space="preserve"> </w:t>
      </w:r>
      <w:r w:rsidR="00003D12" w:rsidRPr="006F3231">
        <w:t xml:space="preserve">of NHS Ayrshire </w:t>
      </w:r>
      <w:r w:rsidR="00427E9E">
        <w:t>&amp;</w:t>
      </w:r>
      <w:r w:rsidR="00427E9E" w:rsidRPr="006F3231">
        <w:t xml:space="preserve"> </w:t>
      </w:r>
      <w:r w:rsidR="00003D12" w:rsidRPr="006F3231">
        <w:t>Ar</w:t>
      </w:r>
      <w:r w:rsidR="00EA3161">
        <w:t>ran at University Hospital Crosshouse</w:t>
      </w:r>
      <w:r w:rsidR="002A17E7">
        <w:t xml:space="preserve"> (UHC)</w:t>
      </w:r>
      <w:r w:rsidR="00FB11BE">
        <w:t>,</w:t>
      </w:r>
      <w:r w:rsidR="00EA3161">
        <w:t xml:space="preserve"> </w:t>
      </w:r>
      <w:r w:rsidR="00003D12" w:rsidRPr="006F3231">
        <w:t>near Kilmarnock</w:t>
      </w:r>
      <w:r w:rsidR="00E922D5">
        <w:t xml:space="preserve"> and University Hospital Ayr (UHA), in Ayr</w:t>
      </w:r>
      <w:r w:rsidR="00003D12" w:rsidRPr="006F3231">
        <w:t xml:space="preserve">. The Haematology Department provides an area-wide </w:t>
      </w:r>
      <w:r w:rsidR="00436C22">
        <w:t xml:space="preserve">clinical and </w:t>
      </w:r>
      <w:r w:rsidR="00003D12" w:rsidRPr="006F3231">
        <w:t xml:space="preserve">laboratory service to all </w:t>
      </w:r>
      <w:r w:rsidR="00427E9E">
        <w:t>inpatient areas</w:t>
      </w:r>
      <w:r w:rsidR="00003D12" w:rsidRPr="006F3231">
        <w:t>, primary care and community services.</w:t>
      </w:r>
      <w:r w:rsidR="00003D12">
        <w:t xml:space="preserve"> The population of Ayrshire is approximately 3</w:t>
      </w:r>
      <w:r w:rsidR="009563F7">
        <w:t>84,</w:t>
      </w:r>
      <w:r w:rsidR="00003D12">
        <w:t>000.</w:t>
      </w:r>
    </w:p>
    <w:p w14:paraId="7C99FB76" w14:textId="77777777" w:rsidR="00003D12" w:rsidRPr="006F3231" w:rsidRDefault="00003D12" w:rsidP="00003D12">
      <w:pPr>
        <w:pStyle w:val="NoSpacing"/>
      </w:pPr>
    </w:p>
    <w:p w14:paraId="4CAEBB7D" w14:textId="77777777" w:rsidR="00003D12" w:rsidRPr="006F3231" w:rsidRDefault="00003D12" w:rsidP="00003D12">
      <w:pPr>
        <w:rPr>
          <w:b/>
        </w:rPr>
      </w:pPr>
    </w:p>
    <w:p w14:paraId="33E5CCA7" w14:textId="77777777" w:rsidR="00A569AC" w:rsidRPr="00E87F39" w:rsidRDefault="00A569AC" w:rsidP="00003D12"/>
    <w:p w14:paraId="11E8EEF3" w14:textId="77777777" w:rsidR="00003D12" w:rsidRDefault="00003D12" w:rsidP="00003D12"/>
    <w:p w14:paraId="3023904F" w14:textId="77777777" w:rsidR="003B1EF4" w:rsidRDefault="00175CA5">
      <w:r>
        <w:rPr>
          <w:noProof/>
          <w:lang w:eastAsia="en-GB"/>
        </w:rPr>
        <w:drawing>
          <wp:inline distT="0" distB="0" distL="0" distR="0" wp14:anchorId="7DE56B13" wp14:editId="6549A106">
            <wp:extent cx="5734050" cy="99060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5734050" cy="990600"/>
                    </a:xfrm>
                    <a:prstGeom prst="rect">
                      <a:avLst/>
                    </a:prstGeom>
                    <a:noFill/>
                    <a:ln w="9525">
                      <a:noFill/>
                      <a:miter lim="800000"/>
                      <a:headEnd/>
                      <a:tailEnd/>
                    </a:ln>
                  </pic:spPr>
                </pic:pic>
              </a:graphicData>
            </a:graphic>
          </wp:inline>
        </w:drawing>
      </w:r>
    </w:p>
    <w:p w14:paraId="5F63EABC" w14:textId="77777777" w:rsidR="003B1EF4" w:rsidRDefault="003B1EF4"/>
    <w:p w14:paraId="17310571" w14:textId="77777777" w:rsidR="00175CA5" w:rsidRDefault="00175CA5"/>
    <w:p w14:paraId="524CAC83" w14:textId="77777777" w:rsidR="00654F01" w:rsidRPr="006B6B74" w:rsidRDefault="00654F01" w:rsidP="00654F01">
      <w:pPr>
        <w:pStyle w:val="NoSpacing"/>
        <w:rPr>
          <w:b/>
        </w:rPr>
      </w:pPr>
      <w:r>
        <w:rPr>
          <w:b/>
        </w:rPr>
        <w:t>C</w:t>
      </w:r>
      <w:r w:rsidRPr="006B6B74">
        <w:rPr>
          <w:b/>
        </w:rPr>
        <w:t>linical Haematology Services</w:t>
      </w:r>
    </w:p>
    <w:p w14:paraId="62830AE9" w14:textId="77777777" w:rsidR="00654F01" w:rsidRPr="006B6B74" w:rsidRDefault="00654F01" w:rsidP="00654F01">
      <w:pPr>
        <w:pStyle w:val="NoSpacing"/>
        <w:rPr>
          <w:b/>
        </w:rPr>
      </w:pPr>
    </w:p>
    <w:p w14:paraId="58466702" w14:textId="6FD21404" w:rsidR="00654F01" w:rsidRPr="006B6B74" w:rsidRDefault="00654F01" w:rsidP="00654F01">
      <w:pPr>
        <w:pStyle w:val="NoSpacing"/>
      </w:pPr>
      <w:r w:rsidRPr="006B6B74">
        <w:t xml:space="preserve">Clinical Haematology services are provided both at </w:t>
      </w:r>
      <w:r>
        <w:t>UHC</w:t>
      </w:r>
      <w:r w:rsidRPr="006B6B74">
        <w:t xml:space="preserve"> for </w:t>
      </w:r>
      <w:r>
        <w:t>N</w:t>
      </w:r>
      <w:r w:rsidRPr="006B6B74">
        <w:t xml:space="preserve">orth and </w:t>
      </w:r>
      <w:r>
        <w:t>E</w:t>
      </w:r>
      <w:r w:rsidRPr="006B6B74">
        <w:t xml:space="preserve">ast Ayrshire and at </w:t>
      </w:r>
      <w:r>
        <w:t>U</w:t>
      </w:r>
      <w:r w:rsidR="00E922D5">
        <w:t xml:space="preserve">niversity </w:t>
      </w:r>
      <w:r>
        <w:t>H</w:t>
      </w:r>
      <w:r w:rsidR="00E922D5">
        <w:t xml:space="preserve">ospital </w:t>
      </w:r>
      <w:r>
        <w:t>A</w:t>
      </w:r>
      <w:r w:rsidR="00E922D5">
        <w:t>yr (UHA)</w:t>
      </w:r>
      <w:r w:rsidRPr="006B6B74">
        <w:t xml:space="preserve"> for </w:t>
      </w:r>
      <w:r>
        <w:t xml:space="preserve">South Ayrshire. </w:t>
      </w:r>
      <w:r w:rsidRPr="006B6B74">
        <w:t>It is expected that the appointee would work principally from</w:t>
      </w:r>
      <w:r>
        <w:t xml:space="preserve"> the</w:t>
      </w:r>
      <w:r w:rsidRPr="006B6B74">
        <w:t xml:space="preserve"> </w:t>
      </w:r>
      <w:r>
        <w:t>UHC</w:t>
      </w:r>
      <w:r w:rsidRPr="006B6B74">
        <w:t xml:space="preserve"> </w:t>
      </w:r>
      <w:r>
        <w:t xml:space="preserve">site </w:t>
      </w:r>
      <w:r w:rsidRPr="006B6B74">
        <w:t xml:space="preserve">although some duties </w:t>
      </w:r>
      <w:r>
        <w:t xml:space="preserve">(outpatient/day-case) </w:t>
      </w:r>
      <w:r w:rsidR="00BF7E9C">
        <w:t>may</w:t>
      </w:r>
      <w:r w:rsidRPr="006B6B74">
        <w:t xml:space="preserve"> be covered on both sites.</w:t>
      </w:r>
    </w:p>
    <w:p w14:paraId="1FEA93D1" w14:textId="77777777" w:rsidR="00654F01" w:rsidRPr="006B6B74" w:rsidRDefault="00654F01" w:rsidP="00654F01">
      <w:pPr>
        <w:pStyle w:val="NoSpacing"/>
      </w:pPr>
    </w:p>
    <w:p w14:paraId="05357579" w14:textId="77777777" w:rsidR="00654F01" w:rsidRPr="006B6B74" w:rsidRDefault="00654F01" w:rsidP="00654F01">
      <w:pPr>
        <w:pStyle w:val="NoSpacing"/>
      </w:pPr>
      <w:r w:rsidRPr="006B6B74">
        <w:t xml:space="preserve">Inpatient beds are available </w:t>
      </w:r>
      <w:r>
        <w:t>on the UHC site</w:t>
      </w:r>
      <w:r w:rsidRPr="006B6B74">
        <w:t xml:space="preserve">, </w:t>
      </w:r>
      <w:r>
        <w:t>and both hospitals run</w:t>
      </w:r>
      <w:r w:rsidRPr="006B6B74">
        <w:t xml:space="preserve"> general Haematology, and Haemato-Oncology outpatient clinics. </w:t>
      </w:r>
      <w:r>
        <w:t>UHC</w:t>
      </w:r>
      <w:r w:rsidRPr="006B6B74">
        <w:t xml:space="preserve"> has a combined Oncology / Haematology </w:t>
      </w:r>
      <w:r>
        <w:t xml:space="preserve">inpatient </w:t>
      </w:r>
      <w:r w:rsidRPr="006B6B74">
        <w:t>unit with 1</w:t>
      </w:r>
      <w:r>
        <w:t xml:space="preserve">4 </w:t>
      </w:r>
      <w:r w:rsidRPr="006B6B74">
        <w:t xml:space="preserve">beds and a </w:t>
      </w:r>
      <w:r>
        <w:t>busy day-</w:t>
      </w:r>
      <w:r w:rsidRPr="006B6B74">
        <w:t xml:space="preserve">case unit. </w:t>
      </w:r>
      <w:r>
        <w:t>New</w:t>
      </w:r>
      <w:r w:rsidRPr="006B6B74">
        <w:t xml:space="preserve"> </w:t>
      </w:r>
      <w:r>
        <w:t xml:space="preserve">off-site </w:t>
      </w:r>
      <w:r w:rsidRPr="006B6B74">
        <w:t xml:space="preserve">facilities are also provided at </w:t>
      </w:r>
      <w:r>
        <w:t xml:space="preserve">UHA for low risk/supportive treatments, this was developed as a response to the Covid19 pandemic to ensure safe patient flow </w:t>
      </w:r>
      <w:proofErr w:type="spellStart"/>
      <w:r>
        <w:t>outwith</w:t>
      </w:r>
      <w:proofErr w:type="spellEnd"/>
      <w:r>
        <w:t xml:space="preserve"> the acute site</w:t>
      </w:r>
      <w:r w:rsidRPr="006B6B74">
        <w:t>. Both sites are large busy District General Hospitals providing a comprehensive range of services requiring frequent clinical haematological input.</w:t>
      </w:r>
    </w:p>
    <w:p w14:paraId="6EE84D70" w14:textId="77777777" w:rsidR="00654F01" w:rsidRPr="006B6B74" w:rsidRDefault="00654F01" w:rsidP="00654F01"/>
    <w:p w14:paraId="68DFBA4B" w14:textId="16D24E6E" w:rsidR="00654F01" w:rsidRPr="00E87F39" w:rsidRDefault="00654F01" w:rsidP="00654F01">
      <w:r w:rsidRPr="006B6B74">
        <w:t xml:space="preserve">Clinical Haematology services are organised from within the </w:t>
      </w:r>
      <w:r>
        <w:t>Surgical D</w:t>
      </w:r>
      <w:r w:rsidRPr="006B6B74">
        <w:t xml:space="preserve">irectorate </w:t>
      </w:r>
      <w:r>
        <w:t xml:space="preserve">from </w:t>
      </w:r>
      <w:r w:rsidRPr="006B6B74">
        <w:t xml:space="preserve">where the budget is </w:t>
      </w:r>
      <w:r>
        <w:t>managed</w:t>
      </w:r>
      <w:r w:rsidRPr="006B6B74">
        <w:t xml:space="preserve">. </w:t>
      </w:r>
      <w:r>
        <w:t>Junior</w:t>
      </w:r>
      <w:r w:rsidRPr="006B6B74">
        <w:t xml:space="preserve"> medical support </w:t>
      </w:r>
      <w:r>
        <w:t>consists an FY1 and FY2 at UHC who take part in Acut</w:t>
      </w:r>
      <w:r w:rsidR="00E92172">
        <w:t xml:space="preserve">e Medical receiving, </w:t>
      </w:r>
      <w:r w:rsidR="00BF7E9C">
        <w:t>a Clinical Teaching Fellow</w:t>
      </w:r>
      <w:r>
        <w:t xml:space="preserve"> and Clinical Development Fellow </w:t>
      </w:r>
      <w:r w:rsidR="00BF7E9C">
        <w:t xml:space="preserve">in Haematology </w:t>
      </w:r>
      <w:r>
        <w:t>on each site.</w:t>
      </w:r>
      <w:r w:rsidRPr="006B6B74">
        <w:t xml:space="preserve"> </w:t>
      </w:r>
      <w:r>
        <w:t>A</w:t>
      </w:r>
      <w:r w:rsidRPr="003F76AB">
        <w:rPr>
          <w:color w:val="FF0000"/>
        </w:rPr>
        <w:t xml:space="preserve"> </w:t>
      </w:r>
      <w:r w:rsidRPr="00E87F39">
        <w:t xml:space="preserve">Specialist Doctor in oncology is also available at </w:t>
      </w:r>
      <w:r>
        <w:t>UHC</w:t>
      </w:r>
      <w:r w:rsidRPr="00E87F39">
        <w:t>.  NHS Greater Glasgow provide consultant oncologist support for breast, urology, lung and colorectal/upper GI tumour types. Anticoagulant clinics are held daily at various locations delivered by anticoagulant pharmacists and nurses, utili</w:t>
      </w:r>
      <w:r w:rsidR="007B5F0D">
        <w:t>sing the Dawn management system</w:t>
      </w:r>
    </w:p>
    <w:p w14:paraId="29ACD611" w14:textId="77777777" w:rsidR="00654F01" w:rsidRDefault="00654F01" w:rsidP="00654F01"/>
    <w:p w14:paraId="69FACB2D" w14:textId="29AC13C4" w:rsidR="00654F01" w:rsidRDefault="00654F01" w:rsidP="00654F01">
      <w:r w:rsidRPr="00E87F39">
        <w:lastRenderedPageBreak/>
        <w:t xml:space="preserve">Weekly Multidisciplinary Team Meetings (MDT) include all consultant Haematologists </w:t>
      </w:r>
      <w:r>
        <w:t>supported by Consultant Pathologist and Radiologists.</w:t>
      </w:r>
      <w:r w:rsidRPr="006B6B74">
        <w:t xml:space="preserve"> The department participates in </w:t>
      </w:r>
      <w:r>
        <w:t xml:space="preserve">the </w:t>
      </w:r>
      <w:r w:rsidRPr="006B6B74">
        <w:t xml:space="preserve">West of Scotland regional MDT via teleconference on a weekly basis. </w:t>
      </w:r>
      <w:r>
        <w:t>This is now followed by the National CAR-T MDT. The Haemato-On</w:t>
      </w:r>
      <w:r w:rsidR="00E92172">
        <w:t>cology service is supported by 4</w:t>
      </w:r>
      <w:r>
        <w:t xml:space="preserve"> full-time haematology clinical nurse specialists who works across both sites, and by dedicated pharmacy and AHP services. There are also close links with the palliative care service, based at the Ayrshire Hospice. </w:t>
      </w:r>
    </w:p>
    <w:p w14:paraId="555167D2" w14:textId="77777777" w:rsidR="00654F01" w:rsidRDefault="00654F01" w:rsidP="00654F01"/>
    <w:p w14:paraId="2F08C166" w14:textId="77777777" w:rsidR="00654F01" w:rsidRDefault="00654F01" w:rsidP="00654F01">
      <w:r>
        <w:t xml:space="preserve">UHC receives medical students (years 1-5) from The University of Glasgow Medical School, and the </w:t>
      </w:r>
      <w:r w:rsidRPr="00E87F39">
        <w:t>postholder would be expected to devote some of his / her SPA time to und</w:t>
      </w:r>
      <w:r>
        <w:t>ergraduate teaching activities.</w:t>
      </w:r>
      <w:r w:rsidRPr="00E87F39">
        <w:t xml:space="preserve"> Postgraduate teaching is coordinated by Dr Hugh Neil, Director of Medical Education. </w:t>
      </w:r>
    </w:p>
    <w:p w14:paraId="3F825AC8" w14:textId="77777777" w:rsidR="00654F01" w:rsidRDefault="00654F01" w:rsidP="00A569AC">
      <w:pPr>
        <w:rPr>
          <w:b/>
        </w:rPr>
      </w:pPr>
    </w:p>
    <w:p w14:paraId="059EFC8E" w14:textId="01D3ACDA" w:rsidR="00654F01" w:rsidRPr="00654F01" w:rsidRDefault="00654F01" w:rsidP="00A569AC">
      <w:r>
        <w:t xml:space="preserve">There is a Haematology education meeting on a Friday lunch time where all grades of doctor participate. We have recently invested money in a new multi-header microscope and TV monitor to aid laboratory teaching. </w:t>
      </w:r>
    </w:p>
    <w:p w14:paraId="5104B16A" w14:textId="77777777" w:rsidR="00654F01" w:rsidRDefault="00654F01" w:rsidP="00A569AC">
      <w:pPr>
        <w:rPr>
          <w:b/>
        </w:rPr>
      </w:pPr>
    </w:p>
    <w:p w14:paraId="4EAA7D0B" w14:textId="77777777" w:rsidR="00A569AC" w:rsidRPr="006F3231" w:rsidRDefault="00A569AC" w:rsidP="00A569AC">
      <w:pPr>
        <w:rPr>
          <w:b/>
        </w:rPr>
      </w:pPr>
      <w:r w:rsidRPr="006F3231">
        <w:rPr>
          <w:b/>
        </w:rPr>
        <w:t xml:space="preserve">Medical Staff Resources </w:t>
      </w:r>
    </w:p>
    <w:p w14:paraId="7D8BE349" w14:textId="77777777" w:rsidR="00A569AC" w:rsidRPr="006F3231" w:rsidRDefault="00A569AC" w:rsidP="00A569AC"/>
    <w:tbl>
      <w:tblPr>
        <w:tblStyle w:val="TableGrid"/>
        <w:tblpPr w:leftFromText="180" w:rightFromText="180" w:vertAnchor="text" w:horzAnchor="margin" w:tblpXSpec="center" w:tblpY="563"/>
        <w:tblW w:w="9089" w:type="dxa"/>
        <w:tblLook w:val="04A0" w:firstRow="1" w:lastRow="0" w:firstColumn="1" w:lastColumn="0" w:noHBand="0" w:noVBand="1"/>
      </w:tblPr>
      <w:tblGrid>
        <w:gridCol w:w="3844"/>
        <w:gridCol w:w="5245"/>
      </w:tblGrid>
      <w:tr w:rsidR="002A17E7" w:rsidRPr="000742B2" w14:paraId="15801DFA" w14:textId="77777777" w:rsidTr="001C32A4">
        <w:tc>
          <w:tcPr>
            <w:tcW w:w="3844" w:type="dxa"/>
          </w:tcPr>
          <w:p w14:paraId="7A9B74FB" w14:textId="77777777" w:rsidR="002A17E7" w:rsidRPr="00E87F39" w:rsidRDefault="002A17E7" w:rsidP="00946E2A">
            <w:pPr>
              <w:pStyle w:val="BodyText2"/>
              <w:rPr>
                <w:rFonts w:ascii="Arial" w:hAnsi="Arial" w:cs="Arial"/>
                <w:i/>
              </w:rPr>
            </w:pPr>
            <w:r w:rsidRPr="00E87F39">
              <w:rPr>
                <w:rFonts w:ascii="Arial" w:hAnsi="Arial" w:cs="Arial"/>
                <w:i/>
              </w:rPr>
              <w:t>Consultant</w:t>
            </w:r>
          </w:p>
        </w:tc>
        <w:tc>
          <w:tcPr>
            <w:tcW w:w="5245" w:type="dxa"/>
          </w:tcPr>
          <w:p w14:paraId="1422C8DA" w14:textId="77777777" w:rsidR="002A17E7" w:rsidRPr="00E87F39" w:rsidRDefault="002A17E7" w:rsidP="00946E2A">
            <w:pPr>
              <w:pStyle w:val="BodyText2"/>
              <w:rPr>
                <w:rFonts w:ascii="Arial" w:hAnsi="Arial" w:cs="Arial"/>
                <w:i/>
              </w:rPr>
            </w:pPr>
            <w:r w:rsidRPr="00E87F39">
              <w:rPr>
                <w:rFonts w:ascii="Arial" w:hAnsi="Arial" w:cs="Arial"/>
                <w:i/>
              </w:rPr>
              <w:t>Departmental responsibility</w:t>
            </w:r>
          </w:p>
        </w:tc>
      </w:tr>
      <w:tr w:rsidR="002A17E7" w:rsidRPr="000742B2" w14:paraId="096E98E2" w14:textId="77777777" w:rsidTr="001C32A4">
        <w:tc>
          <w:tcPr>
            <w:tcW w:w="3844" w:type="dxa"/>
          </w:tcPr>
          <w:p w14:paraId="6F0ABDEF" w14:textId="77777777" w:rsidR="002A17E7" w:rsidRPr="000742B2" w:rsidRDefault="002A17E7" w:rsidP="00946E2A">
            <w:pPr>
              <w:pStyle w:val="BodyText2"/>
              <w:rPr>
                <w:rFonts w:ascii="Arial" w:hAnsi="Arial" w:cs="Arial"/>
              </w:rPr>
            </w:pPr>
            <w:r>
              <w:rPr>
                <w:rFonts w:ascii="Arial" w:hAnsi="Arial" w:cs="Arial"/>
              </w:rPr>
              <w:t>Dr Peter Maclean</w:t>
            </w:r>
          </w:p>
        </w:tc>
        <w:tc>
          <w:tcPr>
            <w:tcW w:w="5245" w:type="dxa"/>
          </w:tcPr>
          <w:p w14:paraId="585D2C05" w14:textId="77777777" w:rsidR="002A17E7" w:rsidRPr="000742B2" w:rsidRDefault="002A17E7" w:rsidP="00946E2A">
            <w:pPr>
              <w:pStyle w:val="BodyText2"/>
              <w:rPr>
                <w:rFonts w:ascii="Arial" w:hAnsi="Arial" w:cs="Arial"/>
              </w:rPr>
            </w:pPr>
            <w:r w:rsidRPr="000742B2">
              <w:rPr>
                <w:rFonts w:ascii="Arial" w:hAnsi="Arial" w:cs="Arial"/>
              </w:rPr>
              <w:t>Clinical Director</w:t>
            </w:r>
            <w:r>
              <w:rPr>
                <w:rFonts w:ascii="Arial" w:hAnsi="Arial" w:cs="Arial"/>
              </w:rPr>
              <w:t>,</w:t>
            </w:r>
            <w:r w:rsidRPr="000742B2">
              <w:rPr>
                <w:rFonts w:ascii="Arial" w:hAnsi="Arial" w:cs="Arial"/>
              </w:rPr>
              <w:t xml:space="preserve"> Cancer </w:t>
            </w:r>
            <w:r>
              <w:rPr>
                <w:rFonts w:ascii="Arial" w:hAnsi="Arial" w:cs="Arial"/>
              </w:rPr>
              <w:t>and Haematology</w:t>
            </w:r>
          </w:p>
        </w:tc>
      </w:tr>
      <w:tr w:rsidR="002A17E7" w:rsidRPr="000742B2" w14:paraId="37D741B9" w14:textId="77777777" w:rsidTr="001C32A4">
        <w:tc>
          <w:tcPr>
            <w:tcW w:w="3844" w:type="dxa"/>
          </w:tcPr>
          <w:p w14:paraId="72EBBA24" w14:textId="4EEFF2E5" w:rsidR="002A17E7" w:rsidRPr="000742B2" w:rsidRDefault="00486CD5" w:rsidP="00946E2A">
            <w:pPr>
              <w:pStyle w:val="BodyText2"/>
              <w:rPr>
                <w:rFonts w:ascii="Arial" w:hAnsi="Arial" w:cs="Arial"/>
              </w:rPr>
            </w:pPr>
            <w:r>
              <w:rPr>
                <w:rFonts w:ascii="Arial" w:hAnsi="Arial" w:cs="Arial"/>
              </w:rPr>
              <w:t>Dr Dean Smyth</w:t>
            </w:r>
          </w:p>
        </w:tc>
        <w:tc>
          <w:tcPr>
            <w:tcW w:w="5245" w:type="dxa"/>
          </w:tcPr>
          <w:p w14:paraId="318AE09A" w14:textId="77777777" w:rsidR="002A17E7" w:rsidRPr="000742B2" w:rsidRDefault="002A17E7" w:rsidP="00946E2A">
            <w:pPr>
              <w:pStyle w:val="BodyText2"/>
              <w:rPr>
                <w:rFonts w:ascii="Arial" w:hAnsi="Arial" w:cs="Arial"/>
              </w:rPr>
            </w:pPr>
            <w:r>
              <w:rPr>
                <w:rFonts w:ascii="Arial" w:hAnsi="Arial" w:cs="Arial"/>
              </w:rPr>
              <w:t>Laboratory Governance Lead</w:t>
            </w:r>
          </w:p>
        </w:tc>
      </w:tr>
      <w:tr w:rsidR="002A17E7" w:rsidRPr="000742B2" w14:paraId="21DF3C64" w14:textId="77777777" w:rsidTr="001C32A4">
        <w:tc>
          <w:tcPr>
            <w:tcW w:w="3844" w:type="dxa"/>
          </w:tcPr>
          <w:p w14:paraId="58011E83" w14:textId="77777777" w:rsidR="002A17E7" w:rsidRPr="000742B2" w:rsidRDefault="002A17E7" w:rsidP="00946E2A">
            <w:pPr>
              <w:pStyle w:val="BodyText2"/>
              <w:rPr>
                <w:rFonts w:ascii="Arial" w:hAnsi="Arial" w:cs="Arial"/>
              </w:rPr>
            </w:pPr>
            <w:r>
              <w:rPr>
                <w:rFonts w:ascii="Arial" w:hAnsi="Arial" w:cs="Arial"/>
              </w:rPr>
              <w:t>Dr Fiona Cutler</w:t>
            </w:r>
          </w:p>
        </w:tc>
        <w:tc>
          <w:tcPr>
            <w:tcW w:w="5245" w:type="dxa"/>
          </w:tcPr>
          <w:p w14:paraId="17D357E2" w14:textId="77777777" w:rsidR="002A17E7" w:rsidRPr="000742B2" w:rsidRDefault="002A17E7" w:rsidP="00946E2A">
            <w:pPr>
              <w:pStyle w:val="BodyText2"/>
              <w:rPr>
                <w:rFonts w:ascii="Arial" w:hAnsi="Arial" w:cs="Arial"/>
              </w:rPr>
            </w:pPr>
            <w:r>
              <w:rPr>
                <w:rFonts w:ascii="Arial" w:hAnsi="Arial" w:cs="Arial"/>
              </w:rPr>
              <w:t>SACT Lead</w:t>
            </w:r>
          </w:p>
        </w:tc>
      </w:tr>
      <w:tr w:rsidR="002A17E7" w:rsidRPr="000742B2" w14:paraId="4588C262" w14:textId="77777777" w:rsidTr="001C32A4">
        <w:tc>
          <w:tcPr>
            <w:tcW w:w="3844" w:type="dxa"/>
          </w:tcPr>
          <w:p w14:paraId="0C1C8027" w14:textId="77777777" w:rsidR="002A17E7" w:rsidRPr="000742B2" w:rsidRDefault="002A17E7" w:rsidP="00946E2A">
            <w:pPr>
              <w:pStyle w:val="BodyText2"/>
              <w:rPr>
                <w:rFonts w:ascii="Arial" w:hAnsi="Arial" w:cs="Arial"/>
              </w:rPr>
            </w:pPr>
            <w:r>
              <w:rPr>
                <w:rFonts w:ascii="Arial" w:hAnsi="Arial" w:cs="Arial"/>
              </w:rPr>
              <w:t>Dr Fiona Nicholson</w:t>
            </w:r>
          </w:p>
        </w:tc>
        <w:tc>
          <w:tcPr>
            <w:tcW w:w="5245" w:type="dxa"/>
          </w:tcPr>
          <w:p w14:paraId="403ED546" w14:textId="50460DF8" w:rsidR="002A17E7" w:rsidRPr="000742B2" w:rsidRDefault="005605D9" w:rsidP="00E63DCE">
            <w:pPr>
              <w:pStyle w:val="BodyText2"/>
              <w:rPr>
                <w:rFonts w:ascii="Arial" w:hAnsi="Arial" w:cs="Arial"/>
              </w:rPr>
            </w:pPr>
            <w:r>
              <w:rPr>
                <w:rFonts w:ascii="Arial" w:hAnsi="Arial" w:cs="Arial"/>
              </w:rPr>
              <w:t>Clinical Lead</w:t>
            </w:r>
            <w:r w:rsidR="002A17E7">
              <w:rPr>
                <w:rFonts w:ascii="Arial" w:hAnsi="Arial" w:cs="Arial"/>
              </w:rPr>
              <w:t xml:space="preserve"> Haematology</w:t>
            </w:r>
          </w:p>
        </w:tc>
      </w:tr>
      <w:tr w:rsidR="002A17E7" w:rsidRPr="000742B2" w14:paraId="090814D9" w14:textId="77777777" w:rsidTr="001C32A4">
        <w:tc>
          <w:tcPr>
            <w:tcW w:w="3844" w:type="dxa"/>
          </w:tcPr>
          <w:p w14:paraId="2A960F48" w14:textId="77777777" w:rsidR="002A17E7" w:rsidRPr="000742B2" w:rsidRDefault="002A17E7" w:rsidP="000212ED">
            <w:pPr>
              <w:pStyle w:val="BodyText2"/>
              <w:rPr>
                <w:rFonts w:ascii="Arial" w:hAnsi="Arial" w:cs="Arial"/>
              </w:rPr>
            </w:pPr>
            <w:r>
              <w:rPr>
                <w:rFonts w:ascii="Arial" w:hAnsi="Arial" w:cs="Arial"/>
              </w:rPr>
              <w:t>Dr William Gordon</w:t>
            </w:r>
          </w:p>
        </w:tc>
        <w:tc>
          <w:tcPr>
            <w:tcW w:w="5245" w:type="dxa"/>
          </w:tcPr>
          <w:p w14:paraId="5BEC0852" w14:textId="32D29F7F" w:rsidR="002A17E7" w:rsidRPr="000742B2" w:rsidRDefault="00486CD5" w:rsidP="00486CD5">
            <w:pPr>
              <w:pStyle w:val="BodyText2"/>
              <w:rPr>
                <w:rFonts w:ascii="Arial" w:hAnsi="Arial" w:cs="Arial"/>
              </w:rPr>
            </w:pPr>
            <w:r>
              <w:rPr>
                <w:rFonts w:ascii="Arial" w:hAnsi="Arial" w:cs="Arial"/>
              </w:rPr>
              <w:t>Undergraduate teaching</w:t>
            </w:r>
            <w:r w:rsidR="002A17E7">
              <w:rPr>
                <w:rFonts w:ascii="Arial" w:hAnsi="Arial" w:cs="Arial"/>
              </w:rPr>
              <w:t xml:space="preserve"> Lead</w:t>
            </w:r>
          </w:p>
        </w:tc>
      </w:tr>
      <w:tr w:rsidR="002A17E7" w:rsidRPr="000742B2" w14:paraId="487B0E87" w14:textId="77777777" w:rsidTr="001C32A4">
        <w:tc>
          <w:tcPr>
            <w:tcW w:w="3844" w:type="dxa"/>
          </w:tcPr>
          <w:p w14:paraId="16148142" w14:textId="77777777" w:rsidR="002A17E7" w:rsidRPr="000212ED" w:rsidRDefault="002A17E7" w:rsidP="000212ED">
            <w:pPr>
              <w:pStyle w:val="BodyText2"/>
              <w:rPr>
                <w:rFonts w:ascii="Arial" w:hAnsi="Arial" w:cs="Arial"/>
              </w:rPr>
            </w:pPr>
            <w:r w:rsidRPr="000212ED">
              <w:rPr>
                <w:rFonts w:ascii="Arial" w:hAnsi="Arial" w:cs="Arial"/>
              </w:rPr>
              <w:t>Dr Ian Devanny</w:t>
            </w:r>
          </w:p>
        </w:tc>
        <w:tc>
          <w:tcPr>
            <w:tcW w:w="5245" w:type="dxa"/>
          </w:tcPr>
          <w:p w14:paraId="03C8C6B0" w14:textId="70F77657" w:rsidR="002A17E7" w:rsidRPr="008B15A4" w:rsidRDefault="002A17E7" w:rsidP="001C32A4">
            <w:pPr>
              <w:pStyle w:val="BodyText2"/>
              <w:rPr>
                <w:rFonts w:ascii="Arial" w:hAnsi="Arial" w:cs="Arial"/>
              </w:rPr>
            </w:pPr>
            <w:r w:rsidRPr="008B15A4">
              <w:rPr>
                <w:rFonts w:ascii="Arial" w:hAnsi="Arial" w:cs="Arial"/>
              </w:rPr>
              <w:t>Anticoagulation Lead</w:t>
            </w:r>
            <w:r w:rsidR="00486CD5">
              <w:rPr>
                <w:rFonts w:ascii="Arial" w:hAnsi="Arial" w:cs="Arial"/>
              </w:rPr>
              <w:t xml:space="preserve"> and </w:t>
            </w:r>
            <w:r w:rsidR="005605D9">
              <w:rPr>
                <w:rFonts w:ascii="Arial" w:hAnsi="Arial" w:cs="Arial"/>
              </w:rPr>
              <w:t xml:space="preserve">lead for </w:t>
            </w:r>
            <w:r w:rsidR="001C32A4">
              <w:rPr>
                <w:rFonts w:ascii="Arial" w:hAnsi="Arial" w:cs="Arial"/>
              </w:rPr>
              <w:t>post g</w:t>
            </w:r>
            <w:r w:rsidR="005605D9">
              <w:rPr>
                <w:rFonts w:ascii="Arial" w:hAnsi="Arial" w:cs="Arial"/>
              </w:rPr>
              <w:t>raduate education</w:t>
            </w:r>
          </w:p>
        </w:tc>
      </w:tr>
      <w:tr w:rsidR="002A17E7" w:rsidRPr="000742B2" w14:paraId="15911A88" w14:textId="77777777" w:rsidTr="001C32A4">
        <w:tc>
          <w:tcPr>
            <w:tcW w:w="3844" w:type="dxa"/>
          </w:tcPr>
          <w:p w14:paraId="7728AFE8" w14:textId="2712DC0D" w:rsidR="002A17E7" w:rsidRPr="009336F0" w:rsidRDefault="00486CD5" w:rsidP="000212ED">
            <w:pPr>
              <w:pStyle w:val="BodyText2"/>
              <w:rPr>
                <w:rFonts w:ascii="Arial" w:hAnsi="Arial" w:cs="Arial"/>
              </w:rPr>
            </w:pPr>
            <w:r>
              <w:rPr>
                <w:rFonts w:ascii="Arial" w:hAnsi="Arial" w:cs="Arial"/>
              </w:rPr>
              <w:t>Dr Samantha Duncan</w:t>
            </w:r>
          </w:p>
        </w:tc>
        <w:tc>
          <w:tcPr>
            <w:tcW w:w="5245" w:type="dxa"/>
          </w:tcPr>
          <w:p w14:paraId="3A882F73" w14:textId="1B96EF60" w:rsidR="002A17E7" w:rsidRPr="005605D9" w:rsidRDefault="00486CD5" w:rsidP="000212ED">
            <w:pPr>
              <w:pStyle w:val="BodyText2"/>
              <w:rPr>
                <w:rFonts w:ascii="Arial" w:hAnsi="Arial" w:cs="Arial"/>
              </w:rPr>
            </w:pPr>
            <w:r w:rsidRPr="005605D9">
              <w:rPr>
                <w:rFonts w:ascii="Arial" w:hAnsi="Arial" w:cs="Arial"/>
              </w:rPr>
              <w:t xml:space="preserve">Transfusion Lead </w:t>
            </w:r>
          </w:p>
        </w:tc>
      </w:tr>
    </w:tbl>
    <w:p w14:paraId="33E91A8C" w14:textId="77777777" w:rsidR="00A569AC" w:rsidRDefault="00A569AC" w:rsidP="00A569AC">
      <w:pPr>
        <w:pStyle w:val="BodyText2"/>
      </w:pPr>
      <w:r w:rsidRPr="006F3231">
        <w:t>The staffing of the Haematology Department is as follows:</w:t>
      </w:r>
    </w:p>
    <w:p w14:paraId="056744E6" w14:textId="77777777" w:rsidR="002A17E7" w:rsidRDefault="002A17E7" w:rsidP="00A569AC">
      <w:pPr>
        <w:pStyle w:val="BodyText2"/>
      </w:pPr>
    </w:p>
    <w:p w14:paraId="7DCC9250" w14:textId="77777777" w:rsidR="002A17E7" w:rsidRDefault="002A17E7" w:rsidP="00A569AC">
      <w:pPr>
        <w:pStyle w:val="BodyText2"/>
      </w:pPr>
    </w:p>
    <w:p w14:paraId="65779E22" w14:textId="77777777" w:rsidR="002A17E7" w:rsidRDefault="002A17E7" w:rsidP="00A569AC">
      <w:pPr>
        <w:pStyle w:val="BodyText2"/>
      </w:pPr>
    </w:p>
    <w:p w14:paraId="10AC4DF8" w14:textId="77777777" w:rsidR="00A569AC" w:rsidRDefault="00A569AC" w:rsidP="00A569AC"/>
    <w:p w14:paraId="09702435" w14:textId="77777777" w:rsidR="002A17E7" w:rsidRDefault="002A17E7" w:rsidP="00A569AC"/>
    <w:p w14:paraId="2E29CA6A" w14:textId="77777777" w:rsidR="002A17E7" w:rsidRDefault="002A17E7" w:rsidP="00A569AC"/>
    <w:p w14:paraId="14471116" w14:textId="77777777" w:rsidR="002A17E7" w:rsidRDefault="002A17E7" w:rsidP="00A569AC"/>
    <w:p w14:paraId="0869F02C" w14:textId="77777777" w:rsidR="00486CD5" w:rsidRDefault="00486CD5" w:rsidP="00A569AC"/>
    <w:p w14:paraId="7A5A9BD6" w14:textId="77777777" w:rsidR="002A17E7" w:rsidRDefault="002A17E7">
      <w:pPr>
        <w:rPr>
          <w:b/>
        </w:rPr>
      </w:pPr>
      <w:r>
        <w:rPr>
          <w:b/>
        </w:rPr>
        <w:br w:type="page"/>
      </w:r>
    </w:p>
    <w:p w14:paraId="72D5BAF8" w14:textId="77777777" w:rsidR="003B1EF4" w:rsidRDefault="00175CA5">
      <w:r>
        <w:rPr>
          <w:noProof/>
          <w:lang w:eastAsia="en-GB"/>
        </w:rPr>
        <w:lastRenderedPageBreak/>
        <w:drawing>
          <wp:inline distT="0" distB="0" distL="0" distR="0" wp14:anchorId="54B35D63" wp14:editId="001282A0">
            <wp:extent cx="5724525" cy="581025"/>
            <wp:effectExtent l="1905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5724525" cy="581025"/>
                    </a:xfrm>
                    <a:prstGeom prst="rect">
                      <a:avLst/>
                    </a:prstGeom>
                    <a:noFill/>
                    <a:ln w="9525">
                      <a:noFill/>
                      <a:miter lim="800000"/>
                      <a:headEnd/>
                      <a:tailEnd/>
                    </a:ln>
                  </pic:spPr>
                </pic:pic>
              </a:graphicData>
            </a:graphic>
          </wp:inline>
        </w:drawing>
      </w:r>
    </w:p>
    <w:p w14:paraId="0C72BDDF" w14:textId="77777777" w:rsidR="003B1EF4" w:rsidRDefault="003B1EF4"/>
    <w:p w14:paraId="28EADE91" w14:textId="77777777" w:rsidR="00175CA5" w:rsidRDefault="00175CA5" w:rsidP="00175CA5">
      <w:pPr>
        <w:jc w:val="both"/>
      </w:pPr>
    </w:p>
    <w:p w14:paraId="55693040" w14:textId="267C11D2" w:rsidR="00FD1872" w:rsidRDefault="00A569AC">
      <w:r>
        <w:t>The Haematology D</w:t>
      </w:r>
      <w:r w:rsidR="003A683E">
        <w:t xml:space="preserve">epartment is a participant in a wider review of Chemotherapy Services within NHS Ayrshire &amp; Arran. The Health Board has approved a West of Scotland Cancer Network review recommendation to reorganise chemotherapy services such that there will be one primary site for chemotherapy prescribing, complex chemotherapy delivery and inpatient Haematology inpatient services, while at least one other site will provide low risk </w:t>
      </w:r>
      <w:r>
        <w:t>day case</w:t>
      </w:r>
      <w:r w:rsidR="003A683E">
        <w:t xml:space="preserve"> </w:t>
      </w:r>
      <w:r>
        <w:t>SACT</w:t>
      </w:r>
      <w:r w:rsidR="003A683E">
        <w:t xml:space="preserve"> delivery. The specific configuration of the future service is still to be confirmed, but work is in progress to take this forward. This reorganisation is an excellent opportunity to develop a </w:t>
      </w:r>
      <w:r w:rsidR="001F3695">
        <w:t xml:space="preserve">suite of inpatient and </w:t>
      </w:r>
      <w:r>
        <w:t>day</w:t>
      </w:r>
      <w:r w:rsidR="000212ED">
        <w:t>-</w:t>
      </w:r>
      <w:r>
        <w:t>case</w:t>
      </w:r>
      <w:r w:rsidR="001F3695">
        <w:t xml:space="preserve"> facilities to match ongoing developments in the safe and effective delivery of chemotherapy. </w:t>
      </w:r>
    </w:p>
    <w:p w14:paraId="774C980F" w14:textId="77777777" w:rsidR="006D3BF2" w:rsidRDefault="006D3BF2"/>
    <w:p w14:paraId="23990682" w14:textId="77777777" w:rsidR="005605D9" w:rsidRDefault="005605D9"/>
    <w:p w14:paraId="409B7248" w14:textId="77777777" w:rsidR="005605D9" w:rsidRDefault="005605D9"/>
    <w:p w14:paraId="3F6CDD58" w14:textId="77777777" w:rsidR="003B1EF4" w:rsidRDefault="00175CA5">
      <w:r>
        <w:rPr>
          <w:noProof/>
          <w:lang w:eastAsia="en-GB"/>
        </w:rPr>
        <w:drawing>
          <wp:inline distT="0" distB="0" distL="0" distR="0" wp14:anchorId="6129D790" wp14:editId="1D3FAC4C">
            <wp:extent cx="5734050" cy="962025"/>
            <wp:effectExtent l="19050" t="0" r="0" b="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a:stretch>
                      <a:fillRect/>
                    </a:stretch>
                  </pic:blipFill>
                  <pic:spPr bwMode="auto">
                    <a:xfrm>
                      <a:off x="0" y="0"/>
                      <a:ext cx="5734050" cy="962025"/>
                    </a:xfrm>
                    <a:prstGeom prst="rect">
                      <a:avLst/>
                    </a:prstGeom>
                    <a:noFill/>
                    <a:ln w="9525">
                      <a:noFill/>
                      <a:miter lim="800000"/>
                      <a:headEnd/>
                      <a:tailEnd/>
                    </a:ln>
                  </pic:spPr>
                </pic:pic>
              </a:graphicData>
            </a:graphic>
          </wp:inline>
        </w:drawing>
      </w:r>
    </w:p>
    <w:p w14:paraId="3C964EC2" w14:textId="48B3AE72" w:rsidR="00654F01" w:rsidRDefault="00654F01" w:rsidP="00550403">
      <w:pPr>
        <w:pStyle w:val="Heading1"/>
        <w:rPr>
          <w:rFonts w:ascii="Arial" w:hAnsi="Arial"/>
          <w:color w:val="auto"/>
          <w:sz w:val="24"/>
          <w:szCs w:val="24"/>
        </w:rPr>
      </w:pPr>
      <w:r>
        <w:rPr>
          <w:rFonts w:ascii="Arial" w:hAnsi="Arial"/>
          <w:color w:val="auto"/>
          <w:sz w:val="24"/>
          <w:szCs w:val="24"/>
        </w:rPr>
        <w:t>Clinical activity within the post</w:t>
      </w:r>
    </w:p>
    <w:p w14:paraId="746766E1" w14:textId="77777777" w:rsidR="00654F01" w:rsidRDefault="00654F01" w:rsidP="00654F01"/>
    <w:p w14:paraId="3038216F" w14:textId="3CBFC3AE" w:rsidR="00654F01" w:rsidRDefault="00654F01" w:rsidP="00654F01">
      <w:r>
        <w:t xml:space="preserve">Clinical duties will include outpatient clinics, on treatment clinics, haematology day unit cover and hospital liaison. The appointee will also be expected to participate in the bone marrow lists on a rotational basis. Training will be given to those not competent in this skill. Some clinical activities may be based at the Kyle Unit Ailsa Hospital, Ayr. This would not be expected to comprise more than 20% of the role. </w:t>
      </w:r>
    </w:p>
    <w:p w14:paraId="4E74477E" w14:textId="000DADBD" w:rsidR="00550403" w:rsidRDefault="00654F01" w:rsidP="00550403">
      <w:pPr>
        <w:pStyle w:val="Heading1"/>
        <w:rPr>
          <w:rFonts w:ascii="Arial" w:hAnsi="Arial"/>
          <w:color w:val="auto"/>
          <w:sz w:val="24"/>
          <w:szCs w:val="24"/>
          <w:u w:val="single"/>
        </w:rPr>
      </w:pPr>
      <w:r>
        <w:rPr>
          <w:rFonts w:ascii="Arial" w:hAnsi="Arial"/>
          <w:color w:val="auto"/>
          <w:sz w:val="24"/>
          <w:szCs w:val="24"/>
        </w:rPr>
        <w:t>P</w:t>
      </w:r>
      <w:r w:rsidR="00550403" w:rsidRPr="00A569AC">
        <w:rPr>
          <w:rFonts w:ascii="Arial" w:hAnsi="Arial"/>
          <w:color w:val="auto"/>
          <w:sz w:val="24"/>
          <w:szCs w:val="24"/>
        </w:rPr>
        <w:t>roposed Weekly Programme</w:t>
      </w:r>
      <w:r w:rsidR="00550403" w:rsidRPr="00A569AC">
        <w:rPr>
          <w:rFonts w:ascii="Arial" w:hAnsi="Arial"/>
          <w:color w:val="auto"/>
          <w:sz w:val="24"/>
          <w:szCs w:val="24"/>
          <w:u w:val="single"/>
        </w:rPr>
        <w:t xml:space="preserve"> </w:t>
      </w:r>
    </w:p>
    <w:p w14:paraId="5DE79466" w14:textId="77777777" w:rsidR="005D3241" w:rsidRDefault="005D3241" w:rsidP="0089363A"/>
    <w:p w14:paraId="1834EEEA" w14:textId="255BEBDB" w:rsidR="005D3241" w:rsidRPr="0089363A" w:rsidRDefault="005D3241" w:rsidP="0089363A">
      <w:r>
        <w:t xml:space="preserve">The job plan </w:t>
      </w:r>
      <w:r w:rsidR="007A186F">
        <w:t>will initially be balanced at 9</w:t>
      </w:r>
      <w:r w:rsidR="00E47E93">
        <w:t xml:space="preserve"> DCC to </w:t>
      </w:r>
      <w:r w:rsidR="007A186F">
        <w:t>1</w:t>
      </w:r>
      <w:r>
        <w:t xml:space="preserve"> SPA</w:t>
      </w:r>
      <w:r w:rsidR="00E47E93">
        <w:t>.</w:t>
      </w:r>
    </w:p>
    <w:p w14:paraId="41BE4307" w14:textId="77777777" w:rsidR="00911056" w:rsidRDefault="00911056" w:rsidP="0089363A"/>
    <w:p w14:paraId="00C45AB8" w14:textId="77777777" w:rsidR="005605D9" w:rsidRDefault="00E9392F" w:rsidP="0089363A">
      <w:r>
        <w:t xml:space="preserve">As this is a new post the exact job plan will be agreed with the successful candidate. </w:t>
      </w:r>
    </w:p>
    <w:p w14:paraId="26E9B3ED" w14:textId="77777777" w:rsidR="005605D9" w:rsidRDefault="005605D9" w:rsidP="0089363A"/>
    <w:p w14:paraId="4015D44B" w14:textId="07D8E584" w:rsidR="00E9392F" w:rsidRDefault="00E9392F" w:rsidP="0089363A">
      <w:r>
        <w:t>A 10 PA contract this will approximately equate to the following;</w:t>
      </w:r>
    </w:p>
    <w:p w14:paraId="718DECF5" w14:textId="77777777" w:rsidR="00E9392F" w:rsidRDefault="00E9392F" w:rsidP="0089363A"/>
    <w:p w14:paraId="5F3B7297" w14:textId="6ACA9CFF" w:rsidR="00E9392F" w:rsidRDefault="00DD5957" w:rsidP="0089363A">
      <w:r>
        <w:t>6</w:t>
      </w:r>
      <w:r w:rsidR="00E9392F">
        <w:t xml:space="preserve"> clinical sessions comprising clinics, on treatment clinics, bone marrow biopsy list, day unit cover and hospital liaison</w:t>
      </w:r>
    </w:p>
    <w:p w14:paraId="3952E908" w14:textId="156BAF94" w:rsidR="00E9392F" w:rsidRDefault="00E9392F" w:rsidP="0089363A">
      <w:r>
        <w:t>1 session for MDT</w:t>
      </w:r>
    </w:p>
    <w:p w14:paraId="5CA5DBDD" w14:textId="6792F938" w:rsidR="00E9392F" w:rsidRDefault="00E9392F" w:rsidP="0089363A">
      <w:r>
        <w:t>1 clinical administration</w:t>
      </w:r>
    </w:p>
    <w:p w14:paraId="26615431" w14:textId="7EE7B5F0" w:rsidR="00DD5957" w:rsidRDefault="00DD5957" w:rsidP="0089363A">
      <w:r>
        <w:t>1 session for on call</w:t>
      </w:r>
    </w:p>
    <w:p w14:paraId="61F0A265" w14:textId="0C6FD534" w:rsidR="00E9392F" w:rsidRDefault="00E9392F" w:rsidP="0089363A">
      <w:r>
        <w:t>1 session for supporting professional activity</w:t>
      </w:r>
    </w:p>
    <w:p w14:paraId="678F8413" w14:textId="77777777" w:rsidR="00E9392F" w:rsidRDefault="00E9392F" w:rsidP="0089363A"/>
    <w:p w14:paraId="74A613F8" w14:textId="77777777" w:rsidR="00D510E9" w:rsidRDefault="00D510E9" w:rsidP="00E9392F">
      <w:pPr>
        <w:jc w:val="both"/>
      </w:pPr>
    </w:p>
    <w:p w14:paraId="22591100" w14:textId="77777777" w:rsidR="00D510E9" w:rsidRDefault="00D510E9" w:rsidP="00E9392F">
      <w:pPr>
        <w:jc w:val="both"/>
      </w:pPr>
    </w:p>
    <w:p w14:paraId="4DEDE2DF" w14:textId="4D8BAA1F" w:rsidR="00D510E9" w:rsidRPr="001C32A4" w:rsidRDefault="00D510E9" w:rsidP="00E9392F">
      <w:pPr>
        <w:jc w:val="both"/>
        <w:rPr>
          <w:b/>
        </w:rPr>
      </w:pPr>
      <w:r w:rsidRPr="001C32A4">
        <w:rPr>
          <w:b/>
        </w:rPr>
        <w:t>Template Job plan</w:t>
      </w:r>
    </w:p>
    <w:p w14:paraId="6301109D" w14:textId="5316E9DD" w:rsidR="00D510E9" w:rsidRDefault="00D510E9" w:rsidP="00E9392F">
      <w:pPr>
        <w:jc w:val="both"/>
      </w:pPr>
    </w:p>
    <w:p w14:paraId="3116AAFD" w14:textId="7CCD4B31" w:rsidR="00D510E9" w:rsidRDefault="00D510E9" w:rsidP="00E9392F">
      <w:pPr>
        <w:jc w:val="both"/>
      </w:pPr>
      <w:r>
        <w:t xml:space="preserve">Based on Monday to Friday </w:t>
      </w:r>
      <w:r w:rsidR="00DD5957">
        <w:t xml:space="preserve">9-5 </w:t>
      </w:r>
      <w:r>
        <w:t xml:space="preserve">pm </w:t>
      </w:r>
    </w:p>
    <w:p w14:paraId="5949F478" w14:textId="77777777" w:rsidR="00D510E9" w:rsidRDefault="00D510E9" w:rsidP="00E9392F">
      <w:pPr>
        <w:jc w:val="both"/>
      </w:pPr>
    </w:p>
    <w:tbl>
      <w:tblPr>
        <w:tblStyle w:val="TableGrid"/>
        <w:tblW w:w="0" w:type="auto"/>
        <w:tblLook w:val="04A0" w:firstRow="1" w:lastRow="0" w:firstColumn="1" w:lastColumn="0" w:noHBand="0" w:noVBand="1"/>
      </w:tblPr>
      <w:tblGrid>
        <w:gridCol w:w="3005"/>
        <w:gridCol w:w="3005"/>
        <w:gridCol w:w="3006"/>
      </w:tblGrid>
      <w:tr w:rsidR="00D510E9" w14:paraId="05C118D6" w14:textId="77777777" w:rsidTr="00D510E9">
        <w:tc>
          <w:tcPr>
            <w:tcW w:w="3005" w:type="dxa"/>
          </w:tcPr>
          <w:p w14:paraId="78AB6222" w14:textId="06662475" w:rsidR="00D510E9" w:rsidRPr="001C32A4" w:rsidRDefault="00D510E9" w:rsidP="00E9392F">
            <w:pPr>
              <w:jc w:val="both"/>
              <w:rPr>
                <w:rFonts w:ascii="Arial" w:hAnsi="Arial" w:cs="Arial"/>
              </w:rPr>
            </w:pPr>
            <w:r w:rsidRPr="001C32A4">
              <w:rPr>
                <w:rFonts w:ascii="Arial" w:hAnsi="Arial" w:cs="Arial"/>
              </w:rPr>
              <w:t>Day</w:t>
            </w:r>
          </w:p>
        </w:tc>
        <w:tc>
          <w:tcPr>
            <w:tcW w:w="3005" w:type="dxa"/>
          </w:tcPr>
          <w:p w14:paraId="61E09D7F" w14:textId="179162B7" w:rsidR="00D510E9" w:rsidRPr="001C32A4" w:rsidRDefault="00D510E9" w:rsidP="00E9392F">
            <w:pPr>
              <w:jc w:val="both"/>
              <w:rPr>
                <w:rFonts w:ascii="Arial" w:hAnsi="Arial" w:cs="Arial"/>
              </w:rPr>
            </w:pPr>
            <w:r w:rsidRPr="001C32A4">
              <w:rPr>
                <w:rFonts w:ascii="Arial" w:hAnsi="Arial" w:cs="Arial"/>
              </w:rPr>
              <w:t>AM</w:t>
            </w:r>
          </w:p>
        </w:tc>
        <w:tc>
          <w:tcPr>
            <w:tcW w:w="3006" w:type="dxa"/>
          </w:tcPr>
          <w:p w14:paraId="010707C1" w14:textId="3F84C186" w:rsidR="00D510E9" w:rsidRPr="001C32A4" w:rsidRDefault="00D510E9" w:rsidP="00E9392F">
            <w:pPr>
              <w:jc w:val="both"/>
              <w:rPr>
                <w:rFonts w:ascii="Arial" w:hAnsi="Arial" w:cs="Arial"/>
              </w:rPr>
            </w:pPr>
            <w:r w:rsidRPr="001C32A4">
              <w:rPr>
                <w:rFonts w:ascii="Arial" w:hAnsi="Arial" w:cs="Arial"/>
              </w:rPr>
              <w:t>PM</w:t>
            </w:r>
          </w:p>
        </w:tc>
      </w:tr>
      <w:tr w:rsidR="00D510E9" w14:paraId="3313E102" w14:textId="77777777" w:rsidTr="00D510E9">
        <w:tc>
          <w:tcPr>
            <w:tcW w:w="3005" w:type="dxa"/>
          </w:tcPr>
          <w:p w14:paraId="677D5824" w14:textId="4B3E1916" w:rsidR="00D510E9" w:rsidRPr="001C32A4" w:rsidRDefault="00D510E9" w:rsidP="00E9392F">
            <w:pPr>
              <w:jc w:val="both"/>
              <w:rPr>
                <w:rFonts w:ascii="Arial" w:hAnsi="Arial" w:cs="Arial"/>
              </w:rPr>
            </w:pPr>
            <w:r w:rsidRPr="001C32A4">
              <w:rPr>
                <w:rFonts w:ascii="Arial" w:hAnsi="Arial" w:cs="Arial"/>
              </w:rPr>
              <w:t>Monday</w:t>
            </w:r>
          </w:p>
        </w:tc>
        <w:tc>
          <w:tcPr>
            <w:tcW w:w="3005" w:type="dxa"/>
          </w:tcPr>
          <w:p w14:paraId="4EAB4C6C" w14:textId="5CA26839" w:rsidR="00D510E9" w:rsidRPr="001C32A4" w:rsidRDefault="00D510E9" w:rsidP="00E9392F">
            <w:pPr>
              <w:jc w:val="both"/>
              <w:rPr>
                <w:rFonts w:ascii="Arial" w:hAnsi="Arial" w:cs="Arial"/>
              </w:rPr>
            </w:pPr>
            <w:r w:rsidRPr="001C32A4">
              <w:rPr>
                <w:rFonts w:ascii="Arial" w:hAnsi="Arial" w:cs="Arial"/>
              </w:rPr>
              <w:t>Admin</w:t>
            </w:r>
          </w:p>
        </w:tc>
        <w:tc>
          <w:tcPr>
            <w:tcW w:w="3006" w:type="dxa"/>
          </w:tcPr>
          <w:p w14:paraId="1C9FA1EE" w14:textId="0D69F755" w:rsidR="00D510E9" w:rsidRPr="001C32A4" w:rsidRDefault="00802653" w:rsidP="00E9392F">
            <w:pPr>
              <w:jc w:val="both"/>
              <w:rPr>
                <w:rFonts w:ascii="Arial" w:hAnsi="Arial" w:cs="Arial"/>
              </w:rPr>
            </w:pPr>
            <w:r w:rsidRPr="001C32A4">
              <w:rPr>
                <w:rFonts w:ascii="Arial" w:hAnsi="Arial" w:cs="Arial"/>
              </w:rPr>
              <w:t>Clinical duty</w:t>
            </w:r>
          </w:p>
        </w:tc>
      </w:tr>
      <w:tr w:rsidR="00D510E9" w14:paraId="46F87015" w14:textId="77777777" w:rsidTr="00D510E9">
        <w:tc>
          <w:tcPr>
            <w:tcW w:w="3005" w:type="dxa"/>
          </w:tcPr>
          <w:p w14:paraId="5BE2732D" w14:textId="6A513CF1" w:rsidR="00D510E9" w:rsidRPr="001C32A4" w:rsidRDefault="00D510E9" w:rsidP="00E9392F">
            <w:pPr>
              <w:jc w:val="both"/>
              <w:rPr>
                <w:rFonts w:ascii="Arial" w:hAnsi="Arial" w:cs="Arial"/>
              </w:rPr>
            </w:pPr>
            <w:r w:rsidRPr="001C32A4">
              <w:rPr>
                <w:rFonts w:ascii="Arial" w:hAnsi="Arial" w:cs="Arial"/>
              </w:rPr>
              <w:t>Tuesday</w:t>
            </w:r>
          </w:p>
        </w:tc>
        <w:tc>
          <w:tcPr>
            <w:tcW w:w="3005" w:type="dxa"/>
          </w:tcPr>
          <w:p w14:paraId="19697BD8" w14:textId="1B8311E5" w:rsidR="00D510E9" w:rsidRPr="001C32A4" w:rsidRDefault="00D510E9" w:rsidP="00E9392F">
            <w:pPr>
              <w:jc w:val="both"/>
              <w:rPr>
                <w:rFonts w:ascii="Arial" w:hAnsi="Arial" w:cs="Arial"/>
              </w:rPr>
            </w:pPr>
            <w:r w:rsidRPr="001C32A4">
              <w:rPr>
                <w:rFonts w:ascii="Arial" w:hAnsi="Arial" w:cs="Arial"/>
              </w:rPr>
              <w:t>MDT</w:t>
            </w:r>
          </w:p>
        </w:tc>
        <w:tc>
          <w:tcPr>
            <w:tcW w:w="3006" w:type="dxa"/>
          </w:tcPr>
          <w:p w14:paraId="7EC0D6AC" w14:textId="298C55A3" w:rsidR="00D510E9" w:rsidRPr="001C32A4" w:rsidRDefault="00DD5957" w:rsidP="00E9392F">
            <w:pPr>
              <w:jc w:val="both"/>
              <w:rPr>
                <w:rFonts w:ascii="Arial" w:hAnsi="Arial" w:cs="Arial"/>
              </w:rPr>
            </w:pPr>
            <w:r w:rsidRPr="001C32A4">
              <w:rPr>
                <w:rFonts w:ascii="Arial" w:hAnsi="Arial" w:cs="Arial"/>
              </w:rPr>
              <w:t>Clinical duty</w:t>
            </w:r>
          </w:p>
        </w:tc>
      </w:tr>
      <w:tr w:rsidR="00D510E9" w14:paraId="5DD417EA" w14:textId="77777777" w:rsidTr="00D510E9">
        <w:tc>
          <w:tcPr>
            <w:tcW w:w="3005" w:type="dxa"/>
          </w:tcPr>
          <w:p w14:paraId="43F0A92D" w14:textId="77F7CC8A" w:rsidR="00D510E9" w:rsidRPr="001C32A4" w:rsidRDefault="00D510E9" w:rsidP="00E9392F">
            <w:pPr>
              <w:jc w:val="both"/>
              <w:rPr>
                <w:rFonts w:ascii="Arial" w:hAnsi="Arial" w:cs="Arial"/>
              </w:rPr>
            </w:pPr>
            <w:r w:rsidRPr="001C32A4">
              <w:rPr>
                <w:rFonts w:ascii="Arial" w:hAnsi="Arial" w:cs="Arial"/>
              </w:rPr>
              <w:t>Wednesday</w:t>
            </w:r>
          </w:p>
        </w:tc>
        <w:tc>
          <w:tcPr>
            <w:tcW w:w="3005" w:type="dxa"/>
          </w:tcPr>
          <w:p w14:paraId="0296EB22" w14:textId="7AD91580" w:rsidR="00D510E9" w:rsidRPr="001C32A4" w:rsidRDefault="00802653" w:rsidP="00E9392F">
            <w:pPr>
              <w:jc w:val="both"/>
              <w:rPr>
                <w:rFonts w:ascii="Arial" w:hAnsi="Arial" w:cs="Arial"/>
              </w:rPr>
            </w:pPr>
            <w:r w:rsidRPr="001C32A4">
              <w:rPr>
                <w:rFonts w:ascii="Arial" w:hAnsi="Arial" w:cs="Arial"/>
              </w:rPr>
              <w:t>Clinical duty</w:t>
            </w:r>
          </w:p>
        </w:tc>
        <w:tc>
          <w:tcPr>
            <w:tcW w:w="3006" w:type="dxa"/>
          </w:tcPr>
          <w:p w14:paraId="72C72B46" w14:textId="3FB26EDF" w:rsidR="00D510E9" w:rsidRPr="001C32A4" w:rsidRDefault="00802653" w:rsidP="00E9392F">
            <w:pPr>
              <w:jc w:val="both"/>
              <w:rPr>
                <w:rFonts w:ascii="Arial" w:hAnsi="Arial" w:cs="Arial"/>
              </w:rPr>
            </w:pPr>
            <w:r w:rsidRPr="001C32A4">
              <w:rPr>
                <w:rFonts w:ascii="Arial" w:hAnsi="Arial" w:cs="Arial"/>
              </w:rPr>
              <w:t>Clinical duty</w:t>
            </w:r>
          </w:p>
        </w:tc>
      </w:tr>
      <w:tr w:rsidR="00D510E9" w14:paraId="7D805B29" w14:textId="77777777" w:rsidTr="00D510E9">
        <w:tc>
          <w:tcPr>
            <w:tcW w:w="3005" w:type="dxa"/>
          </w:tcPr>
          <w:p w14:paraId="2CA643C0" w14:textId="4A753819" w:rsidR="00D510E9" w:rsidRPr="001C32A4" w:rsidRDefault="00D510E9" w:rsidP="00E9392F">
            <w:pPr>
              <w:jc w:val="both"/>
              <w:rPr>
                <w:rFonts w:ascii="Arial" w:hAnsi="Arial" w:cs="Arial"/>
              </w:rPr>
            </w:pPr>
            <w:r w:rsidRPr="001C32A4">
              <w:rPr>
                <w:rFonts w:ascii="Arial" w:hAnsi="Arial" w:cs="Arial"/>
              </w:rPr>
              <w:t>Thursday</w:t>
            </w:r>
          </w:p>
        </w:tc>
        <w:tc>
          <w:tcPr>
            <w:tcW w:w="3005" w:type="dxa"/>
          </w:tcPr>
          <w:p w14:paraId="0181EB21" w14:textId="61548A65" w:rsidR="00D510E9" w:rsidRPr="001C32A4" w:rsidRDefault="00802653" w:rsidP="00E9392F">
            <w:pPr>
              <w:jc w:val="both"/>
              <w:rPr>
                <w:rFonts w:ascii="Arial" w:hAnsi="Arial" w:cs="Arial"/>
              </w:rPr>
            </w:pPr>
            <w:r w:rsidRPr="001C32A4">
              <w:rPr>
                <w:rFonts w:ascii="Arial" w:hAnsi="Arial" w:cs="Arial"/>
              </w:rPr>
              <w:t>Clinical duty</w:t>
            </w:r>
          </w:p>
        </w:tc>
        <w:tc>
          <w:tcPr>
            <w:tcW w:w="3006" w:type="dxa"/>
          </w:tcPr>
          <w:p w14:paraId="70260450" w14:textId="2E01E997" w:rsidR="00D510E9" w:rsidRPr="001C32A4" w:rsidRDefault="00802653" w:rsidP="00E9392F">
            <w:pPr>
              <w:jc w:val="both"/>
              <w:rPr>
                <w:rFonts w:ascii="Arial" w:hAnsi="Arial" w:cs="Arial"/>
              </w:rPr>
            </w:pPr>
            <w:r w:rsidRPr="001C32A4">
              <w:rPr>
                <w:rFonts w:ascii="Arial" w:hAnsi="Arial" w:cs="Arial"/>
              </w:rPr>
              <w:t>Clinical duty</w:t>
            </w:r>
          </w:p>
        </w:tc>
      </w:tr>
      <w:tr w:rsidR="00D510E9" w14:paraId="35199E7A" w14:textId="77777777" w:rsidTr="00D510E9">
        <w:tc>
          <w:tcPr>
            <w:tcW w:w="3005" w:type="dxa"/>
          </w:tcPr>
          <w:p w14:paraId="40362111" w14:textId="2D457522" w:rsidR="00D510E9" w:rsidRPr="001C32A4" w:rsidRDefault="00D510E9" w:rsidP="00E9392F">
            <w:pPr>
              <w:jc w:val="both"/>
              <w:rPr>
                <w:rFonts w:ascii="Arial" w:hAnsi="Arial" w:cs="Arial"/>
              </w:rPr>
            </w:pPr>
            <w:r w:rsidRPr="001C32A4">
              <w:rPr>
                <w:rFonts w:ascii="Arial" w:hAnsi="Arial" w:cs="Arial"/>
              </w:rPr>
              <w:t>Friday</w:t>
            </w:r>
          </w:p>
        </w:tc>
        <w:tc>
          <w:tcPr>
            <w:tcW w:w="3005" w:type="dxa"/>
          </w:tcPr>
          <w:p w14:paraId="779F55AD" w14:textId="086D04EC" w:rsidR="00D510E9" w:rsidRPr="001C32A4" w:rsidRDefault="00DD5957" w:rsidP="00E9392F">
            <w:pPr>
              <w:jc w:val="both"/>
              <w:rPr>
                <w:rFonts w:ascii="Arial" w:hAnsi="Arial" w:cs="Arial"/>
              </w:rPr>
            </w:pPr>
            <w:r w:rsidRPr="001C32A4">
              <w:rPr>
                <w:rFonts w:ascii="Arial" w:hAnsi="Arial" w:cs="Arial"/>
              </w:rPr>
              <w:t>SPA</w:t>
            </w:r>
          </w:p>
        </w:tc>
        <w:tc>
          <w:tcPr>
            <w:tcW w:w="3006" w:type="dxa"/>
          </w:tcPr>
          <w:p w14:paraId="36A6B925" w14:textId="438DA0F5" w:rsidR="00D510E9" w:rsidRPr="001C32A4" w:rsidRDefault="00DD5957" w:rsidP="00E9392F">
            <w:pPr>
              <w:jc w:val="both"/>
              <w:rPr>
                <w:rFonts w:ascii="Arial" w:hAnsi="Arial" w:cs="Arial"/>
              </w:rPr>
            </w:pPr>
            <w:r w:rsidRPr="001C32A4">
              <w:rPr>
                <w:rFonts w:ascii="Arial" w:hAnsi="Arial" w:cs="Arial"/>
              </w:rPr>
              <w:t>OFF</w:t>
            </w:r>
          </w:p>
        </w:tc>
      </w:tr>
    </w:tbl>
    <w:p w14:paraId="4D22BAF5" w14:textId="77777777" w:rsidR="00D510E9" w:rsidRDefault="00D510E9" w:rsidP="00E9392F">
      <w:pPr>
        <w:jc w:val="both"/>
      </w:pPr>
    </w:p>
    <w:p w14:paraId="1ED82BE2" w14:textId="77777777" w:rsidR="00DD5957" w:rsidRDefault="00DD5957" w:rsidP="00E9392F">
      <w:pPr>
        <w:jc w:val="both"/>
      </w:pPr>
    </w:p>
    <w:p w14:paraId="21CBAF3A" w14:textId="77777777" w:rsidR="00E9392F" w:rsidRPr="00022338" w:rsidRDefault="00E9392F" w:rsidP="00E9392F">
      <w:pPr>
        <w:jc w:val="both"/>
      </w:pPr>
      <w:r w:rsidRPr="00022338">
        <w:t>The job plan will be reviewed with the successful candidate no later than 3 months following appointment and where possible discussion may take place in advance of appointment.  Job plan review thereafter will be no less frequent than annually.</w:t>
      </w:r>
    </w:p>
    <w:p w14:paraId="07CAA95E" w14:textId="1BDE0501" w:rsidR="00E9392F" w:rsidRPr="0089363A" w:rsidRDefault="00E9392F" w:rsidP="0089363A">
      <w:r w:rsidRPr="00022338">
        <w:t xml:space="preserve">The agreed job plan will include all the appointee’s professional duties and commitments, including agreed Supporting Professional Activity.  </w:t>
      </w:r>
    </w:p>
    <w:p w14:paraId="0F3D2BC6" w14:textId="77777777" w:rsidR="00EA5E50" w:rsidRDefault="00EA5E50" w:rsidP="00550403"/>
    <w:p w14:paraId="357CE911" w14:textId="77777777" w:rsidR="00802653" w:rsidRDefault="00802653" w:rsidP="00550403"/>
    <w:p w14:paraId="24D0486F" w14:textId="77777777" w:rsidR="00802653" w:rsidRPr="00802653" w:rsidRDefault="00802653" w:rsidP="00802653">
      <w:pPr>
        <w:rPr>
          <w:b/>
          <w:u w:val="single"/>
        </w:rPr>
      </w:pPr>
      <w:r w:rsidRPr="00802653">
        <w:rPr>
          <w:b/>
        </w:rPr>
        <w:t>Notes on the Programme</w:t>
      </w:r>
    </w:p>
    <w:p w14:paraId="657798C6" w14:textId="77777777" w:rsidR="00802653" w:rsidRPr="00802653" w:rsidRDefault="00802653" w:rsidP="00802653"/>
    <w:p w14:paraId="382CC497" w14:textId="77777777" w:rsidR="00802653" w:rsidRPr="00802653" w:rsidRDefault="00802653" w:rsidP="00802653">
      <w:r w:rsidRPr="00802653">
        <w:rPr>
          <w:b/>
        </w:rPr>
        <w:t>Patient Administration</w:t>
      </w:r>
      <w:r w:rsidRPr="00802653">
        <w:t xml:space="preserve">.  This activity covers the management of individual patients including Out Patient administration, results reporting, letters/phone calls to patients, carers, GP’S and members of the wider multidisciplinary team involved in the patients care.  </w:t>
      </w:r>
    </w:p>
    <w:p w14:paraId="287E9479" w14:textId="77777777" w:rsidR="00802653" w:rsidRPr="00802653" w:rsidRDefault="00802653" w:rsidP="00802653"/>
    <w:p w14:paraId="6B820E1B" w14:textId="77777777" w:rsidR="00802653" w:rsidRPr="00802653" w:rsidRDefault="00802653" w:rsidP="00802653">
      <w:r w:rsidRPr="00802653">
        <w:rPr>
          <w:b/>
        </w:rPr>
        <w:t>Travel:</w:t>
      </w:r>
      <w:r w:rsidRPr="00802653">
        <w:t xml:space="preserve">  Any travel allocation will be included within the Total Programmed Activities and will be determined by location at which Direct Clinical Care and Supporting Professional activities are carried out. </w:t>
      </w:r>
    </w:p>
    <w:p w14:paraId="776418DE" w14:textId="77777777" w:rsidR="00802653" w:rsidRPr="00802653" w:rsidRDefault="00802653" w:rsidP="00802653"/>
    <w:p w14:paraId="66184987" w14:textId="63AF2643" w:rsidR="00DD5957" w:rsidRDefault="00DD5957" w:rsidP="00802653">
      <w:pPr>
        <w:rPr>
          <w:b/>
        </w:rPr>
      </w:pPr>
      <w:r>
        <w:rPr>
          <w:b/>
        </w:rPr>
        <w:t xml:space="preserve">On call arrangement- </w:t>
      </w:r>
      <w:r w:rsidR="00E92172">
        <w:t>1 session. Exact pattern to be agreed with the successful applicant.</w:t>
      </w:r>
    </w:p>
    <w:p w14:paraId="4CC9A45F" w14:textId="77777777" w:rsidR="00DD5957" w:rsidRDefault="00DD5957" w:rsidP="00802653">
      <w:pPr>
        <w:rPr>
          <w:b/>
        </w:rPr>
      </w:pPr>
    </w:p>
    <w:p w14:paraId="6E184EAE" w14:textId="4F54DE55" w:rsidR="00802653" w:rsidRPr="00802653" w:rsidRDefault="00802653" w:rsidP="00802653">
      <w:r w:rsidRPr="00802653">
        <w:rPr>
          <w:b/>
        </w:rPr>
        <w:t>Supporting Professional Activities</w:t>
      </w:r>
      <w:r w:rsidRPr="00802653">
        <w:t xml:space="preserve">: NHS Ayrshire and Arran recognise the important role Job Planning has in ensuring </w:t>
      </w:r>
      <w:r w:rsidR="005605D9">
        <w:t>doctors</w:t>
      </w:r>
      <w:r w:rsidRPr="00802653">
        <w:t xml:space="preserve"> are supported in delivering high quality, safe, sustainable clinical care to patients.  It is therefore important to ensure there is an adequate balance between direct clinical care activities and activities which support both the personal and professional development of the </w:t>
      </w:r>
      <w:r w:rsidR="005605D9">
        <w:t xml:space="preserve">medical </w:t>
      </w:r>
      <w:r w:rsidRPr="00802653">
        <w:t xml:space="preserve">workforce and facilitates agreed contribution to activities including: </w:t>
      </w:r>
    </w:p>
    <w:p w14:paraId="358F5F39" w14:textId="77777777" w:rsidR="00802653" w:rsidRPr="00802653" w:rsidRDefault="00802653" w:rsidP="00802653"/>
    <w:p w14:paraId="5844EAD7" w14:textId="77777777" w:rsidR="00802653" w:rsidRPr="00802653" w:rsidRDefault="00802653" w:rsidP="00802653">
      <w:pPr>
        <w:numPr>
          <w:ilvl w:val="0"/>
          <w:numId w:val="1"/>
        </w:numPr>
        <w:spacing w:after="200" w:line="276" w:lineRule="auto"/>
        <w:contextualSpacing/>
        <w:rPr>
          <w:rFonts w:eastAsia="Times New Roman" w:cs="Times New Roman"/>
          <w:lang w:eastAsia="en-GB"/>
        </w:rPr>
      </w:pPr>
      <w:r w:rsidRPr="00802653">
        <w:rPr>
          <w:rFonts w:eastAsia="Times New Roman" w:cs="Times New Roman"/>
          <w:lang w:eastAsia="en-GB"/>
        </w:rPr>
        <w:t xml:space="preserve">Under and post graduate teaching/training </w:t>
      </w:r>
    </w:p>
    <w:p w14:paraId="66F231D7" w14:textId="77777777" w:rsidR="00802653" w:rsidRPr="00802653" w:rsidRDefault="00802653" w:rsidP="00802653">
      <w:pPr>
        <w:numPr>
          <w:ilvl w:val="0"/>
          <w:numId w:val="1"/>
        </w:numPr>
        <w:spacing w:after="200" w:line="276" w:lineRule="auto"/>
        <w:contextualSpacing/>
        <w:rPr>
          <w:rFonts w:eastAsia="Times New Roman" w:cs="Times New Roman"/>
          <w:lang w:eastAsia="en-GB"/>
        </w:rPr>
      </w:pPr>
      <w:r w:rsidRPr="00802653">
        <w:rPr>
          <w:rFonts w:eastAsia="Times New Roman" w:cs="Times New Roman"/>
          <w:lang w:eastAsia="en-GB"/>
        </w:rPr>
        <w:t xml:space="preserve">Clinical Governance </w:t>
      </w:r>
    </w:p>
    <w:p w14:paraId="746EE8FB" w14:textId="77777777" w:rsidR="00802653" w:rsidRPr="00802653" w:rsidRDefault="00802653" w:rsidP="00802653">
      <w:pPr>
        <w:numPr>
          <w:ilvl w:val="0"/>
          <w:numId w:val="1"/>
        </w:numPr>
        <w:spacing w:after="200" w:line="276" w:lineRule="auto"/>
        <w:contextualSpacing/>
        <w:rPr>
          <w:rFonts w:eastAsia="Times New Roman" w:cs="Times New Roman"/>
          <w:lang w:eastAsia="en-GB"/>
        </w:rPr>
      </w:pPr>
      <w:r w:rsidRPr="00802653">
        <w:rPr>
          <w:rFonts w:eastAsia="Times New Roman" w:cs="Times New Roman"/>
          <w:lang w:eastAsia="en-GB"/>
        </w:rPr>
        <w:t xml:space="preserve">Quality and Patient Safety </w:t>
      </w:r>
    </w:p>
    <w:p w14:paraId="5DECEA41" w14:textId="77777777" w:rsidR="00802653" w:rsidRPr="00802653" w:rsidRDefault="00802653" w:rsidP="00802653">
      <w:pPr>
        <w:numPr>
          <w:ilvl w:val="0"/>
          <w:numId w:val="1"/>
        </w:numPr>
        <w:spacing w:after="200" w:line="276" w:lineRule="auto"/>
        <w:contextualSpacing/>
        <w:rPr>
          <w:rFonts w:eastAsia="Times New Roman" w:cs="Times New Roman"/>
          <w:lang w:eastAsia="en-GB"/>
        </w:rPr>
      </w:pPr>
      <w:r w:rsidRPr="00802653">
        <w:rPr>
          <w:rFonts w:eastAsia="Times New Roman" w:cs="Times New Roman"/>
          <w:lang w:eastAsia="en-GB"/>
        </w:rPr>
        <w:t xml:space="preserve">Research and Innovation </w:t>
      </w:r>
    </w:p>
    <w:p w14:paraId="64E3B03B" w14:textId="77777777" w:rsidR="00802653" w:rsidRPr="00802653" w:rsidRDefault="00802653" w:rsidP="00802653">
      <w:pPr>
        <w:numPr>
          <w:ilvl w:val="0"/>
          <w:numId w:val="1"/>
        </w:numPr>
        <w:spacing w:after="200" w:line="276" w:lineRule="auto"/>
        <w:contextualSpacing/>
        <w:rPr>
          <w:rFonts w:eastAsia="Times New Roman" w:cs="Times New Roman"/>
          <w:lang w:eastAsia="en-GB"/>
        </w:rPr>
      </w:pPr>
      <w:r w:rsidRPr="00802653">
        <w:rPr>
          <w:rFonts w:eastAsia="Times New Roman" w:cs="Times New Roman"/>
          <w:lang w:eastAsia="en-GB"/>
        </w:rPr>
        <w:t xml:space="preserve">Service management and planning </w:t>
      </w:r>
    </w:p>
    <w:p w14:paraId="0DECA180" w14:textId="77777777" w:rsidR="00802653" w:rsidRPr="00802653" w:rsidRDefault="00802653" w:rsidP="00802653">
      <w:pPr>
        <w:numPr>
          <w:ilvl w:val="0"/>
          <w:numId w:val="1"/>
        </w:numPr>
        <w:spacing w:after="200" w:line="276" w:lineRule="auto"/>
        <w:contextualSpacing/>
        <w:rPr>
          <w:rFonts w:eastAsia="Times New Roman" w:cs="Times New Roman"/>
          <w:lang w:eastAsia="en-GB"/>
        </w:rPr>
      </w:pPr>
      <w:r w:rsidRPr="00802653">
        <w:rPr>
          <w:rFonts w:eastAsia="Times New Roman" w:cs="Times New Roman"/>
          <w:lang w:eastAsia="en-GB"/>
        </w:rPr>
        <w:t xml:space="preserve">Work with professional bodies </w:t>
      </w:r>
    </w:p>
    <w:p w14:paraId="2309A908" w14:textId="77777777" w:rsidR="00802653" w:rsidRDefault="00802653" w:rsidP="00802653"/>
    <w:p w14:paraId="49FC6BB7" w14:textId="77777777" w:rsidR="00802653" w:rsidRPr="00802653" w:rsidRDefault="00802653" w:rsidP="00802653">
      <w:r w:rsidRPr="00802653">
        <w:t xml:space="preserve">All specialty doctors will have 1 SPA as a minimum to support job planning, appraisal and revalidation. However the final balance of SPA and DCC activity will be agreed between the appointee and clinical manager prior to contracts being agreed.  </w:t>
      </w:r>
    </w:p>
    <w:p w14:paraId="73BD1881" w14:textId="77777777" w:rsidR="00802653" w:rsidRPr="00802653" w:rsidRDefault="00802653" w:rsidP="00802653"/>
    <w:p w14:paraId="38620294" w14:textId="77777777" w:rsidR="00802653" w:rsidRPr="00802653" w:rsidRDefault="00802653" w:rsidP="00802653">
      <w:pPr>
        <w:jc w:val="both"/>
        <w:rPr>
          <w:b/>
          <w:bCs/>
        </w:rPr>
      </w:pPr>
      <w:r w:rsidRPr="00802653">
        <w:t xml:space="preserve">There may be a requirement to vary the DCC outlined in the indicative timetable at section 4 when the final balance of DCC and SPA is subsequently agreed.  </w:t>
      </w:r>
    </w:p>
    <w:p w14:paraId="1405EED8" w14:textId="77777777" w:rsidR="00802653" w:rsidRDefault="00802653" w:rsidP="00550403"/>
    <w:p w14:paraId="232EFA32" w14:textId="77777777" w:rsidR="002D1897" w:rsidRDefault="00F34AD9" w:rsidP="00946E2A">
      <w:pPr>
        <w:ind w:right="901"/>
      </w:pPr>
      <w:r w:rsidRPr="00156BA1">
        <w:rPr>
          <w:caps/>
        </w:rPr>
        <w:tab/>
      </w:r>
      <w:r w:rsidR="00175CA5">
        <w:rPr>
          <w:noProof/>
          <w:lang w:eastAsia="en-GB"/>
        </w:rPr>
        <w:drawing>
          <wp:inline distT="0" distB="0" distL="0" distR="0" wp14:anchorId="2EC19FD3" wp14:editId="551D2EAD">
            <wp:extent cx="5734050" cy="628650"/>
            <wp:effectExtent l="19050" t="0" r="0" b="0"/>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5734050" cy="628650"/>
                    </a:xfrm>
                    <a:prstGeom prst="rect">
                      <a:avLst/>
                    </a:prstGeom>
                    <a:noFill/>
                    <a:ln w="9525">
                      <a:noFill/>
                      <a:miter lim="800000"/>
                      <a:headEnd/>
                      <a:tailEnd/>
                    </a:ln>
                  </pic:spPr>
                </pic:pic>
              </a:graphicData>
            </a:graphic>
          </wp:inline>
        </w:drawing>
      </w:r>
    </w:p>
    <w:p w14:paraId="5C410D87" w14:textId="77777777" w:rsidR="00AA7827" w:rsidRDefault="00AA7827"/>
    <w:p w14:paraId="46B0EB2E" w14:textId="77777777" w:rsidR="00AA7827" w:rsidRDefault="00AA7827"/>
    <w:p w14:paraId="0116DB12" w14:textId="77777777" w:rsidR="006E0703" w:rsidRPr="006E0703" w:rsidRDefault="006E0703" w:rsidP="006E0703">
      <w:pPr>
        <w:rPr>
          <w:b/>
        </w:rPr>
      </w:pPr>
      <w:r w:rsidRPr="006E0703">
        <w:rPr>
          <w:b/>
        </w:rPr>
        <w:t xml:space="preserve">Duties and Responsibilities  </w:t>
      </w:r>
    </w:p>
    <w:p w14:paraId="64DEEC3F" w14:textId="77777777" w:rsidR="006E0703" w:rsidRPr="006E0703" w:rsidRDefault="006E0703" w:rsidP="006E0703">
      <w:pPr>
        <w:rPr>
          <w:b/>
        </w:rPr>
      </w:pPr>
    </w:p>
    <w:p w14:paraId="571A1B42" w14:textId="77777777" w:rsidR="006E0703" w:rsidRPr="006E0703" w:rsidRDefault="006E0703" w:rsidP="006E0703">
      <w:r w:rsidRPr="006E0703">
        <w:t>The main duties and responsibilities of the post include:</w:t>
      </w:r>
    </w:p>
    <w:p w14:paraId="1F948746" w14:textId="77777777" w:rsidR="006E0703" w:rsidRPr="006E0703" w:rsidRDefault="006E0703" w:rsidP="006E0703">
      <w:pPr>
        <w:ind w:left="720"/>
        <w:jc w:val="both"/>
        <w:rPr>
          <w:rFonts w:eastAsia="Times New Roman"/>
        </w:rPr>
      </w:pPr>
    </w:p>
    <w:p w14:paraId="2016492C" w14:textId="77777777" w:rsidR="006E0703" w:rsidRPr="006E0703" w:rsidRDefault="006E0703" w:rsidP="006E0703">
      <w:pPr>
        <w:numPr>
          <w:ilvl w:val="0"/>
          <w:numId w:val="19"/>
        </w:numPr>
        <w:tabs>
          <w:tab w:val="clear" w:pos="360"/>
          <w:tab w:val="num" w:pos="720"/>
        </w:tabs>
        <w:ind w:left="720" w:hanging="720"/>
        <w:jc w:val="both"/>
      </w:pPr>
      <w:r w:rsidRPr="006E0703">
        <w:t>Carrying out teaching as required, and for contributing to undergraduate and</w:t>
      </w:r>
      <w:r w:rsidRPr="006E0703">
        <w:rPr>
          <w:b/>
        </w:rPr>
        <w:t xml:space="preserve"> </w:t>
      </w:r>
      <w:r w:rsidRPr="006E0703">
        <w:t>postgraduate medical education. The post holder will be expected to comply with College recommendations on Continuing Medical Education.</w:t>
      </w:r>
    </w:p>
    <w:p w14:paraId="1201CE11" w14:textId="77777777" w:rsidR="006E0703" w:rsidRPr="006E0703" w:rsidRDefault="006E0703" w:rsidP="006E0703">
      <w:pPr>
        <w:numPr>
          <w:ilvl w:val="0"/>
          <w:numId w:val="20"/>
        </w:numPr>
        <w:tabs>
          <w:tab w:val="clear" w:pos="360"/>
          <w:tab w:val="num" w:pos="720"/>
        </w:tabs>
        <w:ind w:left="720" w:hanging="720"/>
        <w:jc w:val="both"/>
      </w:pPr>
      <w:r w:rsidRPr="006E0703">
        <w:t>The post holder will be required to comply with NHS Ayrshire and Arran’s Policies on Clinical Governance.</w:t>
      </w:r>
    </w:p>
    <w:p w14:paraId="6A4B14AD" w14:textId="77777777" w:rsidR="006E0703" w:rsidRPr="006E0703" w:rsidRDefault="006E0703" w:rsidP="006E0703">
      <w:pPr>
        <w:numPr>
          <w:ilvl w:val="0"/>
          <w:numId w:val="21"/>
        </w:numPr>
        <w:tabs>
          <w:tab w:val="clear" w:pos="360"/>
        </w:tabs>
        <w:ind w:left="720" w:hanging="720"/>
        <w:jc w:val="both"/>
      </w:pPr>
      <w:r w:rsidRPr="006E0703">
        <w:t xml:space="preserve">The successful applicant will be encouraged to participate in research and to develop a relevant subspecialty interest, subject to resources and local priorities.  </w:t>
      </w:r>
    </w:p>
    <w:p w14:paraId="5D651B05" w14:textId="77777777" w:rsidR="006E0703" w:rsidRPr="006E0703" w:rsidRDefault="006E0703" w:rsidP="006E0703">
      <w:pPr>
        <w:numPr>
          <w:ilvl w:val="0"/>
          <w:numId w:val="24"/>
        </w:numPr>
        <w:tabs>
          <w:tab w:val="clear" w:pos="360"/>
          <w:tab w:val="num" w:pos="0"/>
        </w:tabs>
        <w:ind w:left="0" w:firstLine="0"/>
      </w:pPr>
      <w:r w:rsidRPr="006E0703">
        <w:t>Requirements to participate in medical audit and in continuing medical</w:t>
      </w:r>
    </w:p>
    <w:p w14:paraId="0ACA776B" w14:textId="77777777" w:rsidR="006E0703" w:rsidRPr="006E0703" w:rsidRDefault="006E0703" w:rsidP="006E0703">
      <w:r w:rsidRPr="006E0703">
        <w:t xml:space="preserve">           </w:t>
      </w:r>
      <w:proofErr w:type="gramStart"/>
      <w:r w:rsidRPr="006E0703">
        <w:t>education</w:t>
      </w:r>
      <w:proofErr w:type="gramEnd"/>
      <w:r w:rsidRPr="006E0703">
        <w:t>.</w:t>
      </w:r>
    </w:p>
    <w:p w14:paraId="14540D3B" w14:textId="77777777" w:rsidR="006E0703" w:rsidRPr="006E0703" w:rsidRDefault="006E0703" w:rsidP="006E0703">
      <w:pPr>
        <w:numPr>
          <w:ilvl w:val="0"/>
          <w:numId w:val="22"/>
        </w:numPr>
        <w:tabs>
          <w:tab w:val="clear" w:pos="360"/>
          <w:tab w:val="num" w:pos="0"/>
        </w:tabs>
        <w:ind w:left="0" w:firstLine="0"/>
      </w:pPr>
      <w:r w:rsidRPr="006E0703">
        <w:t>Managerial responsibilities (where appropriate).</w:t>
      </w:r>
    </w:p>
    <w:p w14:paraId="778C3D3D" w14:textId="77777777" w:rsidR="006E0703" w:rsidRPr="006E0703" w:rsidRDefault="006E0703" w:rsidP="006E0703">
      <w:pPr>
        <w:rPr>
          <w:b/>
        </w:rPr>
      </w:pPr>
    </w:p>
    <w:p w14:paraId="5A163ED3" w14:textId="24033CA7" w:rsidR="006E0703" w:rsidRPr="006E0703" w:rsidRDefault="006E0703" w:rsidP="006E0703">
      <w:pPr>
        <w:jc w:val="both"/>
      </w:pPr>
      <w:r w:rsidRPr="006E0703">
        <w:t xml:space="preserve">You shall integrate with other middle grade staff in the day-to-day service and commitments of the department.  Accordingly, the duties would be flexible </w:t>
      </w:r>
      <w:r>
        <w:t>and rotate between team members</w:t>
      </w:r>
      <w:r w:rsidRPr="006E0703">
        <w:t xml:space="preserve">. </w:t>
      </w:r>
    </w:p>
    <w:p w14:paraId="132608F9" w14:textId="77777777" w:rsidR="006E0703" w:rsidRPr="006E0703" w:rsidRDefault="006E0703" w:rsidP="006E0703">
      <w:pPr>
        <w:jc w:val="both"/>
      </w:pPr>
    </w:p>
    <w:p w14:paraId="3532FD3E" w14:textId="03101EE3" w:rsidR="006E0703" w:rsidRPr="006E0703" w:rsidRDefault="006E0703" w:rsidP="006E0703">
      <w:pPr>
        <w:jc w:val="both"/>
      </w:pPr>
      <w:r w:rsidRPr="006E0703">
        <w:t xml:space="preserve">All members of the department participate in </w:t>
      </w:r>
      <w:r>
        <w:t xml:space="preserve">weekly </w:t>
      </w:r>
      <w:r w:rsidRPr="006E0703">
        <w:t>meetings which may combine audit review or case discussions with our radiological and pathological colleagues.</w:t>
      </w:r>
    </w:p>
    <w:p w14:paraId="002A0F21" w14:textId="77777777" w:rsidR="006E0703" w:rsidRPr="006E0703" w:rsidRDefault="006E0703" w:rsidP="006E0703">
      <w:pPr>
        <w:jc w:val="both"/>
      </w:pPr>
    </w:p>
    <w:p w14:paraId="6893076A" w14:textId="77777777" w:rsidR="006E0703" w:rsidRPr="006E0703" w:rsidRDefault="006E0703" w:rsidP="006E0703">
      <w:pPr>
        <w:jc w:val="both"/>
      </w:pPr>
      <w:r w:rsidRPr="006E0703">
        <w:t>You will be accountable to the Clinical Director who will agree the weekly timetable.</w:t>
      </w:r>
    </w:p>
    <w:p w14:paraId="6B906C53" w14:textId="77777777" w:rsidR="006E0703" w:rsidRPr="006E0703" w:rsidRDefault="006E0703" w:rsidP="006E0703"/>
    <w:p w14:paraId="1E989188" w14:textId="77777777" w:rsidR="006E0703" w:rsidRPr="006E0703" w:rsidRDefault="006E0703" w:rsidP="006E0703">
      <w:pPr>
        <w:tabs>
          <w:tab w:val="num" w:pos="0"/>
        </w:tabs>
      </w:pPr>
    </w:p>
    <w:p w14:paraId="5E13DF1A" w14:textId="77777777" w:rsidR="006E0703" w:rsidRPr="006E0703" w:rsidRDefault="006E0703" w:rsidP="006E0703">
      <w:pPr>
        <w:spacing w:before="240" w:after="60"/>
        <w:outlineLvl w:val="6"/>
        <w:rPr>
          <w:rFonts w:eastAsia="Times New Roman"/>
          <w:b/>
          <w:lang w:eastAsia="en-GB"/>
        </w:rPr>
      </w:pPr>
      <w:r w:rsidRPr="006E0703">
        <w:rPr>
          <w:rFonts w:eastAsia="Times New Roman"/>
          <w:b/>
          <w:lang w:eastAsia="en-GB"/>
        </w:rPr>
        <w:t xml:space="preserve">Annual Appraisal </w:t>
      </w:r>
    </w:p>
    <w:p w14:paraId="3B62DA56" w14:textId="77777777" w:rsidR="006E0703" w:rsidRPr="006E0703" w:rsidRDefault="006E0703" w:rsidP="006E0703">
      <w:pPr>
        <w:rPr>
          <w:b/>
        </w:rPr>
      </w:pPr>
    </w:p>
    <w:p w14:paraId="5A5EF2AD" w14:textId="77777777" w:rsidR="006E0703" w:rsidRPr="006E0703" w:rsidRDefault="006E0703" w:rsidP="006E0703">
      <w:pPr>
        <w:rPr>
          <w:rFonts w:eastAsia="Times New Roman"/>
          <w:lang w:val="en-US" w:eastAsia="en-GB"/>
        </w:rPr>
      </w:pPr>
      <w:r w:rsidRPr="006E0703">
        <w:rPr>
          <w:rFonts w:eastAsia="Times New Roman"/>
          <w:lang w:val="en-US" w:eastAsia="en-GB"/>
        </w:rPr>
        <w:t xml:space="preserve">You shall be required to participate in annual appraisal and agree a personal development plan.  </w:t>
      </w:r>
    </w:p>
    <w:p w14:paraId="373E4651" w14:textId="77777777" w:rsidR="006E0703" w:rsidRDefault="006E0703" w:rsidP="00EA5E50">
      <w:pPr>
        <w:jc w:val="both"/>
      </w:pPr>
    </w:p>
    <w:p w14:paraId="6B1C5E73" w14:textId="77777777" w:rsidR="006E0703" w:rsidRDefault="006E0703" w:rsidP="00EA5E50">
      <w:pPr>
        <w:jc w:val="both"/>
      </w:pPr>
    </w:p>
    <w:p w14:paraId="3A60577E" w14:textId="77777777" w:rsidR="006E0703" w:rsidRDefault="006E0703" w:rsidP="00EA5E50">
      <w:pPr>
        <w:jc w:val="both"/>
      </w:pPr>
    </w:p>
    <w:p w14:paraId="1D093E0A" w14:textId="77777777" w:rsidR="006E0703" w:rsidRDefault="006E0703" w:rsidP="00EA5E50">
      <w:pPr>
        <w:jc w:val="both"/>
      </w:pPr>
    </w:p>
    <w:p w14:paraId="1631C621" w14:textId="77777777" w:rsidR="00863360" w:rsidRPr="00156BA1" w:rsidRDefault="00863360" w:rsidP="00863360">
      <w:pPr>
        <w:jc w:val="both"/>
      </w:pPr>
      <w:bookmarkStart w:id="0" w:name="_GoBack"/>
      <w:bookmarkEnd w:id="0"/>
    </w:p>
    <w:p w14:paraId="0E8A8AED" w14:textId="77777777" w:rsidR="00AA7827" w:rsidRDefault="00AA7827"/>
    <w:p w14:paraId="74005CA5" w14:textId="77777777" w:rsidR="003B1EF4" w:rsidRDefault="00175CA5">
      <w:r>
        <w:rPr>
          <w:noProof/>
          <w:lang w:eastAsia="en-GB"/>
        </w:rPr>
        <w:drawing>
          <wp:inline distT="0" distB="0" distL="0" distR="0" wp14:anchorId="5B94988F" wp14:editId="6EAD8D7F">
            <wp:extent cx="5724525" cy="628650"/>
            <wp:effectExtent l="19050" t="0" r="9525" b="0"/>
            <wp:docPr id="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srcRect/>
                    <a:stretch>
                      <a:fillRect/>
                    </a:stretch>
                  </pic:blipFill>
                  <pic:spPr bwMode="auto">
                    <a:xfrm>
                      <a:off x="0" y="0"/>
                      <a:ext cx="5724525" cy="628650"/>
                    </a:xfrm>
                    <a:prstGeom prst="rect">
                      <a:avLst/>
                    </a:prstGeom>
                    <a:noFill/>
                    <a:ln w="9525">
                      <a:noFill/>
                      <a:miter lim="800000"/>
                      <a:headEnd/>
                      <a:tailEnd/>
                    </a:ln>
                  </pic:spPr>
                </pic:pic>
              </a:graphicData>
            </a:graphic>
          </wp:inline>
        </w:drawing>
      </w:r>
    </w:p>
    <w:p w14:paraId="4CEF08C5" w14:textId="77777777" w:rsidR="003B1EF4" w:rsidRDefault="003B1EF4"/>
    <w:p w14:paraId="09305DE3" w14:textId="77777777" w:rsidR="00550403" w:rsidRPr="00A569AC" w:rsidRDefault="00550403" w:rsidP="00550403">
      <w:pPr>
        <w:pStyle w:val="BodyTextIndent"/>
        <w:ind w:left="0"/>
      </w:pPr>
      <w:r w:rsidRPr="00A569AC">
        <w:t>The Terms and Conditions of Service are those determined by the Terms and Conditions of the New Consultant Grade (Scotland) as amended from time to time.   The distance that a consultant can reside from the principal base hospital, where travel time is seen as more important than mileage, is subject to the agreement of the Executive Medical Director, but it is usually anticipated that a journey that takes no more than 30 minutes for any emergency situation would be acceptable.</w:t>
      </w:r>
    </w:p>
    <w:p w14:paraId="1F8E8BA8" w14:textId="77777777" w:rsidR="00550403" w:rsidRDefault="00550403"/>
    <w:p w14:paraId="3A907CBB" w14:textId="77777777" w:rsidR="002D1897" w:rsidRDefault="002D1897"/>
    <w:p w14:paraId="540DDD76" w14:textId="77777777" w:rsidR="002D1897" w:rsidRDefault="00175CA5">
      <w:r>
        <w:rPr>
          <w:noProof/>
          <w:lang w:eastAsia="en-GB"/>
        </w:rPr>
        <w:drawing>
          <wp:inline distT="0" distB="0" distL="0" distR="0" wp14:anchorId="131A4264" wp14:editId="7171B68A">
            <wp:extent cx="5724525" cy="561975"/>
            <wp:effectExtent l="19050" t="0" r="9525" b="0"/>
            <wp:docPr id="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srcRect/>
                    <a:stretch>
                      <a:fillRect/>
                    </a:stretch>
                  </pic:blipFill>
                  <pic:spPr bwMode="auto">
                    <a:xfrm>
                      <a:off x="0" y="0"/>
                      <a:ext cx="5724525" cy="561975"/>
                    </a:xfrm>
                    <a:prstGeom prst="rect">
                      <a:avLst/>
                    </a:prstGeom>
                    <a:noFill/>
                    <a:ln w="9525">
                      <a:noFill/>
                      <a:miter lim="800000"/>
                      <a:headEnd/>
                      <a:tailEnd/>
                    </a:ln>
                  </pic:spPr>
                </pic:pic>
              </a:graphicData>
            </a:graphic>
          </wp:inline>
        </w:drawing>
      </w:r>
    </w:p>
    <w:p w14:paraId="32F5D54E" w14:textId="77777777" w:rsidR="00AA7827" w:rsidRDefault="00AA7827"/>
    <w:p w14:paraId="1C04D838" w14:textId="77777777" w:rsidR="00AA7827" w:rsidRDefault="00AA7827"/>
    <w:p w14:paraId="00E7AFBE" w14:textId="41B20501" w:rsidR="00863360" w:rsidRDefault="00863360" w:rsidP="00863360">
      <w:r w:rsidRPr="00156BA1">
        <w:t xml:space="preserve">Applicants wishing further information about the post are invited to contact </w:t>
      </w:r>
      <w:r w:rsidR="000742B2">
        <w:t>D</w:t>
      </w:r>
      <w:r>
        <w:t xml:space="preserve">r </w:t>
      </w:r>
      <w:r w:rsidR="000742B2">
        <w:t>Peter MacLean</w:t>
      </w:r>
      <w:r>
        <w:t xml:space="preserve">, Clinical Director </w:t>
      </w:r>
      <w:hyperlink r:id="rId16" w:history="1">
        <w:r w:rsidR="006D3BF2" w:rsidRPr="00BF6905">
          <w:rPr>
            <w:rStyle w:val="Hyperlink"/>
          </w:rPr>
          <w:t>peter.maclean@aapct.scot.nhs.uk</w:t>
        </w:r>
      </w:hyperlink>
      <w:r w:rsidR="006D3BF2">
        <w:t xml:space="preserve"> </w:t>
      </w:r>
      <w:r w:rsidR="006D3BF2">
        <w:rPr>
          <w:bCs/>
        </w:rPr>
        <w:t xml:space="preserve">or Dr Fiona Nicholson </w:t>
      </w:r>
      <w:hyperlink r:id="rId17" w:history="1">
        <w:r w:rsidR="006D3BF2" w:rsidRPr="00BF6905">
          <w:rPr>
            <w:rStyle w:val="Hyperlink"/>
            <w:bCs/>
          </w:rPr>
          <w:t>fiona.nicholson@aapct.scot.nhs.uk</w:t>
        </w:r>
      </w:hyperlink>
      <w:r w:rsidR="006D3BF2">
        <w:rPr>
          <w:bCs/>
        </w:rPr>
        <w:t xml:space="preserve"> </w:t>
      </w:r>
      <w:r w:rsidR="00A569AC" w:rsidRPr="00A569AC">
        <w:t>with</w:t>
      </w:r>
      <w:r w:rsidRPr="00156BA1">
        <w:t xml:space="preserve"> whom visiting arrangements can also be made.</w:t>
      </w:r>
    </w:p>
    <w:p w14:paraId="6576C476" w14:textId="185BDF8D" w:rsidR="006D3BF2" w:rsidRDefault="006D3BF2">
      <w:r>
        <w:br w:type="page"/>
      </w:r>
    </w:p>
    <w:p w14:paraId="5F6D640C" w14:textId="77777777" w:rsidR="006D3BF2" w:rsidRDefault="006D3BF2" w:rsidP="00863360">
      <w:pPr>
        <w:sectPr w:rsidR="006D3BF2" w:rsidSect="00F80FD7">
          <w:headerReference w:type="even" r:id="rId18"/>
          <w:footerReference w:type="default" r:id="rId19"/>
          <w:headerReference w:type="first" r:id="rId20"/>
          <w:pgSz w:w="11906" w:h="16838"/>
          <w:pgMar w:top="1440" w:right="1440" w:bottom="1440" w:left="1440" w:header="708" w:footer="708" w:gutter="0"/>
          <w:pgNumType w:start="0"/>
          <w:cols w:space="708"/>
          <w:docGrid w:linePitch="360"/>
        </w:sectPr>
      </w:pPr>
    </w:p>
    <w:p w14:paraId="69ACB82E" w14:textId="77777777" w:rsidR="003B1EF4" w:rsidRDefault="00175CA5">
      <w:r>
        <w:rPr>
          <w:noProof/>
          <w:lang w:eastAsia="en-GB"/>
        </w:rPr>
        <w:lastRenderedPageBreak/>
        <w:drawing>
          <wp:inline distT="0" distB="0" distL="0" distR="0" wp14:anchorId="3274BF86" wp14:editId="43E44707">
            <wp:extent cx="5724525" cy="704850"/>
            <wp:effectExtent l="19050" t="0" r="9525" b="0"/>
            <wp:docPr id="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cstate="print"/>
                    <a:srcRect/>
                    <a:stretch>
                      <a:fillRect/>
                    </a:stretch>
                  </pic:blipFill>
                  <pic:spPr bwMode="auto">
                    <a:xfrm>
                      <a:off x="0" y="0"/>
                      <a:ext cx="5724525" cy="704850"/>
                    </a:xfrm>
                    <a:prstGeom prst="rect">
                      <a:avLst/>
                    </a:prstGeom>
                    <a:noFill/>
                    <a:ln w="9525">
                      <a:noFill/>
                      <a:miter lim="800000"/>
                      <a:headEnd/>
                      <a:tailEnd/>
                    </a:ln>
                  </pic:spPr>
                </pic:pic>
              </a:graphicData>
            </a:graphic>
          </wp:inline>
        </w:drawing>
      </w:r>
    </w:p>
    <w:p w14:paraId="22229C8C" w14:textId="77777777" w:rsidR="003B1EF4" w:rsidRDefault="003B1EF4"/>
    <w:p w14:paraId="24DC668D" w14:textId="77777777" w:rsidR="00AA7827" w:rsidRDefault="00AA7827"/>
    <w:p w14:paraId="4A0DE9FF" w14:textId="695FFBCC" w:rsidR="006E0703" w:rsidRPr="006E0703" w:rsidRDefault="006E0703" w:rsidP="006E0703">
      <w:pPr>
        <w:rPr>
          <w:sz w:val="28"/>
          <w:szCs w:val="28"/>
        </w:rPr>
      </w:pPr>
      <w:r w:rsidRPr="006E0703">
        <w:rPr>
          <w:b/>
          <w:sz w:val="28"/>
          <w:szCs w:val="28"/>
        </w:rPr>
        <w:t>Post of</w:t>
      </w:r>
      <w:r w:rsidRPr="006E0703">
        <w:rPr>
          <w:sz w:val="28"/>
          <w:szCs w:val="28"/>
        </w:rPr>
        <w:t xml:space="preserve">:    </w:t>
      </w:r>
      <w:r w:rsidRPr="006E0703">
        <w:rPr>
          <w:sz w:val="28"/>
          <w:szCs w:val="28"/>
        </w:rPr>
        <w:tab/>
        <w:t xml:space="preserve">Specialty Doctor in </w:t>
      </w:r>
      <w:r>
        <w:rPr>
          <w:sz w:val="28"/>
          <w:szCs w:val="28"/>
        </w:rPr>
        <w:t>Haematology</w:t>
      </w:r>
    </w:p>
    <w:p w14:paraId="12D6B1A8" w14:textId="30943122" w:rsidR="006E0703" w:rsidRPr="006E0703" w:rsidRDefault="006E0703" w:rsidP="006E0703">
      <w:pPr>
        <w:rPr>
          <w:sz w:val="28"/>
          <w:szCs w:val="28"/>
        </w:rPr>
      </w:pPr>
      <w:r w:rsidRPr="006E0703">
        <w:rPr>
          <w:b/>
          <w:sz w:val="28"/>
          <w:szCs w:val="28"/>
        </w:rPr>
        <w:t>Location</w:t>
      </w:r>
      <w:r w:rsidRPr="006E0703">
        <w:rPr>
          <w:sz w:val="28"/>
          <w:szCs w:val="28"/>
        </w:rPr>
        <w:t xml:space="preserve">: </w:t>
      </w:r>
      <w:r w:rsidRPr="006E0703">
        <w:rPr>
          <w:sz w:val="28"/>
          <w:szCs w:val="28"/>
        </w:rPr>
        <w:tab/>
        <w:t>University Hospital Crosshouse</w:t>
      </w:r>
    </w:p>
    <w:p w14:paraId="516A4196" w14:textId="77777777" w:rsidR="006E0703" w:rsidRPr="006E0703" w:rsidRDefault="006E0703" w:rsidP="006E0703">
      <w:pPr>
        <w:rPr>
          <w:b/>
        </w:rPr>
      </w:pPr>
    </w:p>
    <w:p w14:paraId="7463033C" w14:textId="77777777" w:rsidR="006E0703" w:rsidRPr="006E0703" w:rsidRDefault="006E0703" w:rsidP="006E0703">
      <w:pPr>
        <w:keepNext/>
        <w:spacing w:before="240" w:after="60"/>
        <w:outlineLvl w:val="1"/>
        <w:rPr>
          <w:rFonts w:eastAsia="Times New Roman"/>
          <w:b/>
          <w:bCs/>
          <w:iCs/>
        </w:rPr>
      </w:pPr>
      <w:r w:rsidRPr="006E0703">
        <w:rPr>
          <w:rFonts w:eastAsia="Times New Roman"/>
          <w:b/>
          <w:bCs/>
          <w:iCs/>
        </w:rPr>
        <w:t>Qualifications:</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68"/>
        <w:gridCol w:w="3263"/>
      </w:tblGrid>
      <w:tr w:rsidR="006E0703" w:rsidRPr="006E0703" w14:paraId="61F71A97" w14:textId="77777777" w:rsidTr="007A1612">
        <w:trPr>
          <w:trHeight w:val="390"/>
        </w:trPr>
        <w:tc>
          <w:tcPr>
            <w:tcW w:w="6768" w:type="dxa"/>
            <w:tcBorders>
              <w:top w:val="single" w:sz="4" w:space="0" w:color="auto"/>
              <w:left w:val="single" w:sz="4" w:space="0" w:color="auto"/>
              <w:bottom w:val="single" w:sz="4" w:space="0" w:color="auto"/>
              <w:right w:val="single" w:sz="4" w:space="0" w:color="auto"/>
            </w:tcBorders>
          </w:tcPr>
          <w:p w14:paraId="15801CA5" w14:textId="77777777" w:rsidR="006E0703" w:rsidRPr="006E0703" w:rsidRDefault="006E0703" w:rsidP="006E0703">
            <w:pPr>
              <w:keepNext/>
              <w:spacing w:before="240" w:after="60"/>
              <w:outlineLvl w:val="2"/>
              <w:rPr>
                <w:rFonts w:eastAsia="Times New Roman"/>
                <w:b/>
                <w:bCs/>
                <w:sz w:val="26"/>
              </w:rPr>
            </w:pPr>
            <w:r w:rsidRPr="006E0703">
              <w:rPr>
                <w:rFonts w:eastAsia="Times New Roman"/>
                <w:b/>
                <w:bCs/>
                <w:sz w:val="26"/>
              </w:rPr>
              <w:t>Essential</w:t>
            </w:r>
          </w:p>
        </w:tc>
        <w:tc>
          <w:tcPr>
            <w:tcW w:w="3263" w:type="dxa"/>
            <w:tcBorders>
              <w:top w:val="single" w:sz="4" w:space="0" w:color="auto"/>
              <w:left w:val="single" w:sz="4" w:space="0" w:color="auto"/>
              <w:bottom w:val="single" w:sz="4" w:space="0" w:color="auto"/>
              <w:right w:val="single" w:sz="4" w:space="0" w:color="auto"/>
            </w:tcBorders>
          </w:tcPr>
          <w:p w14:paraId="6ED7A58E" w14:textId="77777777" w:rsidR="006E0703" w:rsidRPr="006E0703" w:rsidRDefault="006E0703" w:rsidP="006E0703">
            <w:pPr>
              <w:keepNext/>
              <w:spacing w:before="240" w:after="60"/>
              <w:outlineLvl w:val="1"/>
              <w:rPr>
                <w:rFonts w:eastAsia="Times New Roman"/>
                <w:b/>
                <w:bCs/>
                <w:iCs/>
              </w:rPr>
            </w:pPr>
            <w:r w:rsidRPr="006E0703">
              <w:rPr>
                <w:rFonts w:eastAsia="Times New Roman"/>
                <w:b/>
                <w:bCs/>
                <w:iCs/>
              </w:rPr>
              <w:t>Desirable</w:t>
            </w:r>
          </w:p>
        </w:tc>
      </w:tr>
      <w:tr w:rsidR="006E0703" w:rsidRPr="006E0703" w14:paraId="120FE7FC" w14:textId="77777777" w:rsidTr="007A1612">
        <w:trPr>
          <w:trHeight w:val="390"/>
        </w:trPr>
        <w:tc>
          <w:tcPr>
            <w:tcW w:w="6768" w:type="dxa"/>
            <w:tcBorders>
              <w:top w:val="single" w:sz="4" w:space="0" w:color="auto"/>
              <w:left w:val="single" w:sz="4" w:space="0" w:color="auto"/>
              <w:bottom w:val="single" w:sz="4" w:space="0" w:color="auto"/>
              <w:right w:val="single" w:sz="4" w:space="0" w:color="auto"/>
            </w:tcBorders>
          </w:tcPr>
          <w:p w14:paraId="5FC4032C" w14:textId="77777777" w:rsidR="006E0703" w:rsidRPr="006E0703" w:rsidRDefault="006E0703" w:rsidP="006E0703">
            <w:pPr>
              <w:keepNext/>
              <w:numPr>
                <w:ilvl w:val="0"/>
                <w:numId w:val="29"/>
              </w:numPr>
              <w:outlineLvl w:val="1"/>
              <w:rPr>
                <w:rFonts w:eastAsia="Times New Roman"/>
                <w:bCs/>
                <w:iCs/>
              </w:rPr>
            </w:pPr>
            <w:proofErr w:type="spellStart"/>
            <w:r w:rsidRPr="006E0703">
              <w:rPr>
                <w:rFonts w:eastAsia="Times New Roman"/>
                <w:bCs/>
                <w:iCs/>
              </w:rPr>
              <w:t>MBChB</w:t>
            </w:r>
            <w:proofErr w:type="spellEnd"/>
            <w:r w:rsidRPr="006E0703">
              <w:rPr>
                <w:rFonts w:eastAsia="Times New Roman"/>
                <w:bCs/>
                <w:iCs/>
              </w:rPr>
              <w:t xml:space="preserve">/MBBS or equivalent medical qualification </w:t>
            </w:r>
          </w:p>
          <w:p w14:paraId="7DBA9389" w14:textId="402DA604" w:rsidR="006E0703" w:rsidRPr="006E0703" w:rsidRDefault="006E0703" w:rsidP="006E0703">
            <w:pPr>
              <w:keepNext/>
              <w:ind w:left="720"/>
              <w:outlineLvl w:val="1"/>
              <w:rPr>
                <w:rFonts w:ascii="Cambria" w:eastAsia="Times New Roman" w:hAnsi="Cambria"/>
                <w:b/>
                <w:bCs/>
                <w:i/>
                <w:iCs/>
              </w:rPr>
            </w:pPr>
          </w:p>
        </w:tc>
        <w:tc>
          <w:tcPr>
            <w:tcW w:w="3263" w:type="dxa"/>
            <w:tcBorders>
              <w:top w:val="single" w:sz="4" w:space="0" w:color="auto"/>
              <w:left w:val="single" w:sz="4" w:space="0" w:color="auto"/>
              <w:bottom w:val="single" w:sz="4" w:space="0" w:color="auto"/>
              <w:right w:val="single" w:sz="4" w:space="0" w:color="auto"/>
            </w:tcBorders>
          </w:tcPr>
          <w:p w14:paraId="79BAE5D4" w14:textId="65964780" w:rsidR="006E0703" w:rsidRPr="00BF7E9C" w:rsidRDefault="00E922D5" w:rsidP="00E922D5">
            <w:pPr>
              <w:pStyle w:val="ListParagraph"/>
              <w:keepNext/>
              <w:numPr>
                <w:ilvl w:val="0"/>
                <w:numId w:val="29"/>
              </w:numPr>
              <w:spacing w:before="240" w:after="60"/>
              <w:outlineLvl w:val="1"/>
              <w:rPr>
                <w:rFonts w:cs="Arial"/>
                <w:bCs/>
                <w:i/>
                <w:iCs/>
              </w:rPr>
            </w:pPr>
            <w:r w:rsidRPr="00BF7E9C">
              <w:rPr>
                <w:rFonts w:cs="Arial"/>
                <w:bCs/>
                <w:iCs/>
              </w:rPr>
              <w:t>MRCP or equivalent</w:t>
            </w:r>
          </w:p>
        </w:tc>
      </w:tr>
      <w:tr w:rsidR="006E0703" w:rsidRPr="006E0703" w14:paraId="702136E4" w14:textId="77777777" w:rsidTr="007A1612">
        <w:trPr>
          <w:trHeight w:val="390"/>
        </w:trPr>
        <w:tc>
          <w:tcPr>
            <w:tcW w:w="6768" w:type="dxa"/>
            <w:tcBorders>
              <w:top w:val="single" w:sz="4" w:space="0" w:color="auto"/>
              <w:left w:val="single" w:sz="4" w:space="0" w:color="auto"/>
              <w:bottom w:val="single" w:sz="4" w:space="0" w:color="auto"/>
              <w:right w:val="single" w:sz="4" w:space="0" w:color="auto"/>
            </w:tcBorders>
          </w:tcPr>
          <w:p w14:paraId="07436CAB" w14:textId="579940B0" w:rsidR="006E0703" w:rsidRPr="006E0703" w:rsidRDefault="006E0703" w:rsidP="006E0703">
            <w:pPr>
              <w:numPr>
                <w:ilvl w:val="0"/>
                <w:numId w:val="27"/>
              </w:numPr>
              <w:spacing w:before="60" w:after="60"/>
            </w:pPr>
            <w:r w:rsidRPr="006E0703">
              <w:t>Full GMC Registration with a Licence to Practice at time of appointment</w:t>
            </w:r>
          </w:p>
          <w:p w14:paraId="40AC7F7D" w14:textId="77777777" w:rsidR="006E0703" w:rsidRPr="006E0703" w:rsidRDefault="006E0703" w:rsidP="006E0703">
            <w:pPr>
              <w:numPr>
                <w:ilvl w:val="0"/>
                <w:numId w:val="27"/>
              </w:numPr>
              <w:tabs>
                <w:tab w:val="num" w:pos="-579"/>
              </w:tabs>
              <w:spacing w:after="120"/>
              <w:ind w:left="317" w:hanging="317"/>
            </w:pPr>
            <w:r w:rsidRPr="006E0703">
              <w:t>Evidence of achievement of Foundation competences by time of appointment in line with GMC standards/ Good Medical Practice including:</w:t>
            </w:r>
          </w:p>
          <w:p w14:paraId="34A3AE0F" w14:textId="77777777" w:rsidR="006E0703" w:rsidRPr="006E0703" w:rsidRDefault="006E0703" w:rsidP="006E0703">
            <w:pPr>
              <w:numPr>
                <w:ilvl w:val="1"/>
                <w:numId w:val="27"/>
              </w:numPr>
              <w:tabs>
                <w:tab w:val="num" w:pos="538"/>
              </w:tabs>
              <w:ind w:left="538" w:hanging="284"/>
            </w:pPr>
            <w:r w:rsidRPr="006E0703">
              <w:t>Good clinical care</w:t>
            </w:r>
          </w:p>
          <w:p w14:paraId="06595284" w14:textId="77777777" w:rsidR="006E0703" w:rsidRPr="006E0703" w:rsidRDefault="006E0703" w:rsidP="006E0703">
            <w:pPr>
              <w:numPr>
                <w:ilvl w:val="1"/>
                <w:numId w:val="27"/>
              </w:numPr>
              <w:tabs>
                <w:tab w:val="num" w:pos="538"/>
              </w:tabs>
              <w:ind w:left="538" w:hanging="284"/>
            </w:pPr>
            <w:r w:rsidRPr="006E0703">
              <w:t>Maintaining good medical practice</w:t>
            </w:r>
          </w:p>
          <w:p w14:paraId="2BBF35FF" w14:textId="77777777" w:rsidR="006E0703" w:rsidRPr="006E0703" w:rsidRDefault="006E0703" w:rsidP="006E0703">
            <w:pPr>
              <w:numPr>
                <w:ilvl w:val="1"/>
                <w:numId w:val="27"/>
              </w:numPr>
              <w:tabs>
                <w:tab w:val="num" w:pos="538"/>
              </w:tabs>
              <w:ind w:left="538" w:hanging="284"/>
            </w:pPr>
            <w:r w:rsidRPr="006E0703">
              <w:t xml:space="preserve">Good relationships and communication with patients </w:t>
            </w:r>
          </w:p>
          <w:p w14:paraId="61873946" w14:textId="77777777" w:rsidR="006E0703" w:rsidRPr="006E0703" w:rsidRDefault="006E0703" w:rsidP="006E0703">
            <w:pPr>
              <w:numPr>
                <w:ilvl w:val="1"/>
                <w:numId w:val="27"/>
              </w:numPr>
              <w:tabs>
                <w:tab w:val="num" w:pos="538"/>
              </w:tabs>
              <w:ind w:left="538" w:hanging="284"/>
            </w:pPr>
            <w:r w:rsidRPr="006E0703">
              <w:t>Good working relationships with colleagues</w:t>
            </w:r>
          </w:p>
          <w:p w14:paraId="1BAD10C4" w14:textId="77777777" w:rsidR="006E0703" w:rsidRPr="006E0703" w:rsidRDefault="006E0703" w:rsidP="006E0703">
            <w:pPr>
              <w:numPr>
                <w:ilvl w:val="1"/>
                <w:numId w:val="27"/>
              </w:numPr>
              <w:tabs>
                <w:tab w:val="num" w:pos="538"/>
              </w:tabs>
              <w:ind w:left="538" w:hanging="284"/>
            </w:pPr>
            <w:r w:rsidRPr="006E0703">
              <w:t>Good teaching and training</w:t>
            </w:r>
          </w:p>
          <w:p w14:paraId="5968FCFA" w14:textId="77777777" w:rsidR="006E0703" w:rsidRPr="006E0703" w:rsidRDefault="006E0703" w:rsidP="006E0703">
            <w:pPr>
              <w:numPr>
                <w:ilvl w:val="1"/>
                <w:numId w:val="27"/>
              </w:numPr>
              <w:tabs>
                <w:tab w:val="num" w:pos="538"/>
              </w:tabs>
              <w:ind w:left="538" w:hanging="284"/>
            </w:pPr>
            <w:r w:rsidRPr="006E0703">
              <w:t>Professional behaviour and probity</w:t>
            </w:r>
          </w:p>
          <w:p w14:paraId="2BBDF17E" w14:textId="77777777" w:rsidR="006E0703" w:rsidRPr="006E0703" w:rsidRDefault="006E0703" w:rsidP="006E0703">
            <w:pPr>
              <w:numPr>
                <w:ilvl w:val="1"/>
                <w:numId w:val="27"/>
              </w:numPr>
              <w:tabs>
                <w:tab w:val="num" w:pos="538"/>
              </w:tabs>
              <w:ind w:left="538" w:hanging="284"/>
            </w:pPr>
            <w:r w:rsidRPr="006E0703">
              <w:t xml:space="preserve">Delivery of good acute clinical care </w:t>
            </w:r>
          </w:p>
          <w:p w14:paraId="30E62D1D" w14:textId="77777777" w:rsidR="006E0703" w:rsidRPr="006E0703" w:rsidRDefault="006E0703" w:rsidP="006E0703">
            <w:pPr>
              <w:ind w:left="284"/>
            </w:pPr>
          </w:p>
          <w:p w14:paraId="78CE0AF7" w14:textId="77777777" w:rsidR="00DD5957" w:rsidRDefault="00DD5957" w:rsidP="00DD5957">
            <w:pPr>
              <w:numPr>
                <w:ilvl w:val="0"/>
                <w:numId w:val="33"/>
              </w:numPr>
              <w:spacing w:before="60" w:after="60"/>
              <w:ind w:left="284" w:hanging="284"/>
            </w:pPr>
            <w:r>
              <w:t xml:space="preserve">Completion of a minimum of 4 years full-time postgraduate training (or equivalent) with evidence of achievement of at least 2.5 </w:t>
            </w:r>
            <w:proofErr w:type="spellStart"/>
            <w:r>
              <w:t>years experience</w:t>
            </w:r>
            <w:proofErr w:type="spellEnd"/>
            <w:r>
              <w:t xml:space="preserve"> in competences relevant to general internal medicine at time of appointment.</w:t>
            </w:r>
          </w:p>
          <w:p w14:paraId="1387B0E0" w14:textId="0DF81716" w:rsidR="00DD5957" w:rsidRDefault="00DD5957" w:rsidP="00DD5957">
            <w:pPr>
              <w:numPr>
                <w:ilvl w:val="0"/>
                <w:numId w:val="33"/>
              </w:numPr>
              <w:spacing w:before="60" w:after="60"/>
              <w:ind w:left="284" w:hanging="284"/>
            </w:pPr>
            <w:r>
              <w:t xml:space="preserve">At least 12 months previous </w:t>
            </w:r>
            <w:r w:rsidR="00576800">
              <w:t xml:space="preserve">post graduate NHS </w:t>
            </w:r>
            <w:r>
              <w:t xml:space="preserve">experience in clinical Haematology </w:t>
            </w:r>
          </w:p>
          <w:p w14:paraId="6570AB45" w14:textId="77777777" w:rsidR="006E0703" w:rsidRPr="006E0703" w:rsidRDefault="006E0703" w:rsidP="006E0703">
            <w:pPr>
              <w:spacing w:before="60" w:after="60"/>
            </w:pPr>
          </w:p>
          <w:p w14:paraId="4D180174" w14:textId="7B3066C3" w:rsidR="001252F3" w:rsidRPr="006E0703" w:rsidRDefault="006E0703" w:rsidP="001252F3">
            <w:pPr>
              <w:numPr>
                <w:ilvl w:val="0"/>
                <w:numId w:val="27"/>
              </w:numPr>
              <w:spacing w:before="60" w:after="60"/>
              <w:ind w:left="284" w:hanging="284"/>
            </w:pPr>
            <w:r w:rsidRPr="006E0703">
              <w:t>Eligibility to work in the UK</w:t>
            </w:r>
          </w:p>
        </w:tc>
        <w:tc>
          <w:tcPr>
            <w:tcW w:w="3263" w:type="dxa"/>
            <w:tcBorders>
              <w:top w:val="single" w:sz="4" w:space="0" w:color="auto"/>
              <w:left w:val="single" w:sz="4" w:space="0" w:color="auto"/>
              <w:bottom w:val="single" w:sz="4" w:space="0" w:color="auto"/>
              <w:right w:val="single" w:sz="4" w:space="0" w:color="auto"/>
            </w:tcBorders>
          </w:tcPr>
          <w:p w14:paraId="79D4BC2D" w14:textId="602D0DA5" w:rsidR="001252F3" w:rsidRPr="00DB05B9" w:rsidRDefault="00DD5957" w:rsidP="001252F3">
            <w:pPr>
              <w:numPr>
                <w:ilvl w:val="0"/>
                <w:numId w:val="30"/>
              </w:numPr>
            </w:pPr>
            <w:r>
              <w:t>At least 24 months p</w:t>
            </w:r>
            <w:r w:rsidR="00E922D5">
              <w:t xml:space="preserve">revious </w:t>
            </w:r>
            <w:r w:rsidR="00576800">
              <w:t xml:space="preserve">post graduate NHS </w:t>
            </w:r>
            <w:r w:rsidR="00E922D5">
              <w:t xml:space="preserve">experience in clinical </w:t>
            </w:r>
            <w:proofErr w:type="gramStart"/>
            <w:r w:rsidR="00E922D5">
              <w:t xml:space="preserve">Haematology </w:t>
            </w:r>
            <w:r w:rsidR="001252F3" w:rsidRPr="00DB05B9">
              <w:t>.</w:t>
            </w:r>
            <w:proofErr w:type="gramEnd"/>
          </w:p>
          <w:p w14:paraId="2CFC8FB1" w14:textId="31DACDC9" w:rsidR="006E0703" w:rsidRPr="006E0703" w:rsidRDefault="006E0703" w:rsidP="001252F3">
            <w:pPr>
              <w:rPr>
                <w:rFonts w:eastAsia="Times New Roman"/>
                <w:bCs/>
                <w:iCs/>
              </w:rPr>
            </w:pPr>
          </w:p>
        </w:tc>
      </w:tr>
    </w:tbl>
    <w:p w14:paraId="4543AE81" w14:textId="77777777" w:rsidR="006E0703" w:rsidRPr="006E0703" w:rsidRDefault="006E0703" w:rsidP="006E0703">
      <w:pPr>
        <w:rPr>
          <w:b/>
        </w:rPr>
      </w:pPr>
    </w:p>
    <w:p w14:paraId="508A776F" w14:textId="77777777" w:rsidR="006E0703" w:rsidRPr="006E0703" w:rsidRDefault="006E0703" w:rsidP="006E0703">
      <w:pPr>
        <w:rPr>
          <w:b/>
        </w:rPr>
      </w:pPr>
    </w:p>
    <w:p w14:paraId="6B14BEBB" w14:textId="77777777" w:rsidR="006E0703" w:rsidRPr="006E0703" w:rsidRDefault="006E0703" w:rsidP="006E0703">
      <w:pPr>
        <w:rPr>
          <w:b/>
        </w:rPr>
      </w:pPr>
    </w:p>
    <w:p w14:paraId="15E5EADF" w14:textId="77777777" w:rsidR="006E0703" w:rsidRPr="006E0703" w:rsidRDefault="006E0703" w:rsidP="006E0703">
      <w:pPr>
        <w:rPr>
          <w:b/>
        </w:rPr>
      </w:pPr>
    </w:p>
    <w:p w14:paraId="307025E2" w14:textId="77777777" w:rsidR="006E0703" w:rsidRPr="006E0703" w:rsidRDefault="006E0703" w:rsidP="006E0703">
      <w:pPr>
        <w:rPr>
          <w:b/>
        </w:rPr>
      </w:pPr>
    </w:p>
    <w:p w14:paraId="596A23C5" w14:textId="77777777" w:rsidR="006E0703" w:rsidRPr="006E0703" w:rsidRDefault="006E0703" w:rsidP="006E0703">
      <w:pPr>
        <w:rPr>
          <w:b/>
        </w:rPr>
      </w:pPr>
    </w:p>
    <w:p w14:paraId="57EB2025" w14:textId="77777777" w:rsidR="006E0703" w:rsidRPr="006E0703" w:rsidRDefault="006E0703" w:rsidP="006E0703">
      <w:pPr>
        <w:rPr>
          <w:b/>
        </w:rPr>
      </w:pPr>
    </w:p>
    <w:p w14:paraId="723D14A3" w14:textId="77777777" w:rsidR="006E0703" w:rsidRPr="006E0703" w:rsidRDefault="006E0703" w:rsidP="006E0703">
      <w:pPr>
        <w:rPr>
          <w:b/>
        </w:rPr>
      </w:pPr>
    </w:p>
    <w:p w14:paraId="2C4DB251" w14:textId="77777777" w:rsidR="006E0703" w:rsidRPr="006E0703" w:rsidRDefault="006E0703" w:rsidP="006E0703">
      <w:pPr>
        <w:rPr>
          <w:b/>
        </w:rPr>
      </w:pPr>
    </w:p>
    <w:p w14:paraId="3BBEA611" w14:textId="77777777" w:rsidR="006E0703" w:rsidRPr="006E0703" w:rsidRDefault="006E0703" w:rsidP="006E0703">
      <w:pPr>
        <w:rPr>
          <w:b/>
        </w:rPr>
      </w:pPr>
    </w:p>
    <w:p w14:paraId="1BF5AF72" w14:textId="77777777" w:rsidR="006E0703" w:rsidRPr="006E0703" w:rsidRDefault="006E0703" w:rsidP="006E0703">
      <w:pPr>
        <w:rPr>
          <w:b/>
        </w:rPr>
      </w:pPr>
    </w:p>
    <w:p w14:paraId="3B587704" w14:textId="77777777" w:rsidR="006E0703" w:rsidRPr="006E0703" w:rsidRDefault="006E0703" w:rsidP="006E0703">
      <w:pPr>
        <w:tabs>
          <w:tab w:val="left" w:pos="720"/>
          <w:tab w:val="center" w:pos="4513"/>
          <w:tab w:val="right" w:pos="9026"/>
        </w:tabs>
        <w:rPr>
          <w:b/>
        </w:rPr>
      </w:pPr>
      <w:r w:rsidRPr="006E0703">
        <w:rPr>
          <w:b/>
        </w:rPr>
        <w:t>Skills/Knowledge/Competence</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8"/>
        <w:gridCol w:w="3960"/>
        <w:gridCol w:w="3263"/>
      </w:tblGrid>
      <w:tr w:rsidR="006E0703" w:rsidRPr="006E0703" w14:paraId="6B371336" w14:textId="77777777" w:rsidTr="007A1612">
        <w:tc>
          <w:tcPr>
            <w:tcW w:w="2808" w:type="dxa"/>
            <w:tcBorders>
              <w:top w:val="single" w:sz="4" w:space="0" w:color="auto"/>
              <w:left w:val="single" w:sz="4" w:space="0" w:color="auto"/>
              <w:bottom w:val="single" w:sz="4" w:space="0" w:color="auto"/>
              <w:right w:val="single" w:sz="4" w:space="0" w:color="auto"/>
            </w:tcBorders>
          </w:tcPr>
          <w:p w14:paraId="4BDA9CAF" w14:textId="77777777" w:rsidR="006E0703" w:rsidRPr="006E0703" w:rsidRDefault="006E0703" w:rsidP="006E0703">
            <w:pPr>
              <w:tabs>
                <w:tab w:val="left" w:pos="720"/>
                <w:tab w:val="center" w:pos="4513"/>
                <w:tab w:val="right" w:pos="9026"/>
              </w:tabs>
              <w:rPr>
                <w:b/>
              </w:rPr>
            </w:pPr>
            <w:r w:rsidRPr="006E0703">
              <w:rPr>
                <w:b/>
              </w:rPr>
              <w:t>Requirements</w:t>
            </w:r>
          </w:p>
          <w:p w14:paraId="1CB9C350" w14:textId="77777777" w:rsidR="006E0703" w:rsidRPr="006E0703" w:rsidRDefault="006E0703" w:rsidP="006E0703">
            <w:pPr>
              <w:tabs>
                <w:tab w:val="left" w:pos="720"/>
                <w:tab w:val="center" w:pos="4513"/>
                <w:tab w:val="right" w:pos="9026"/>
              </w:tabs>
              <w:rPr>
                <w:b/>
              </w:rPr>
            </w:pPr>
          </w:p>
        </w:tc>
        <w:tc>
          <w:tcPr>
            <w:tcW w:w="3960" w:type="dxa"/>
            <w:tcBorders>
              <w:top w:val="single" w:sz="4" w:space="0" w:color="auto"/>
              <w:left w:val="single" w:sz="4" w:space="0" w:color="auto"/>
              <w:bottom w:val="single" w:sz="4" w:space="0" w:color="auto"/>
              <w:right w:val="single" w:sz="4" w:space="0" w:color="auto"/>
            </w:tcBorders>
          </w:tcPr>
          <w:p w14:paraId="1D869075" w14:textId="77777777" w:rsidR="006E0703" w:rsidRPr="006E0703" w:rsidRDefault="006E0703" w:rsidP="006E0703">
            <w:pPr>
              <w:tabs>
                <w:tab w:val="left" w:pos="720"/>
                <w:tab w:val="center" w:pos="4513"/>
                <w:tab w:val="right" w:pos="9026"/>
              </w:tabs>
              <w:rPr>
                <w:b/>
              </w:rPr>
            </w:pPr>
            <w:r w:rsidRPr="006E0703">
              <w:rPr>
                <w:b/>
              </w:rPr>
              <w:t>Essential</w:t>
            </w:r>
          </w:p>
        </w:tc>
        <w:tc>
          <w:tcPr>
            <w:tcW w:w="3263" w:type="dxa"/>
            <w:tcBorders>
              <w:top w:val="single" w:sz="4" w:space="0" w:color="auto"/>
              <w:left w:val="single" w:sz="4" w:space="0" w:color="auto"/>
              <w:bottom w:val="single" w:sz="4" w:space="0" w:color="auto"/>
              <w:right w:val="single" w:sz="4" w:space="0" w:color="auto"/>
            </w:tcBorders>
          </w:tcPr>
          <w:p w14:paraId="4E609B6A" w14:textId="77777777" w:rsidR="006E0703" w:rsidRPr="006E0703" w:rsidRDefault="006E0703" w:rsidP="006E0703">
            <w:pPr>
              <w:tabs>
                <w:tab w:val="left" w:pos="720"/>
                <w:tab w:val="center" w:pos="4513"/>
                <w:tab w:val="right" w:pos="9026"/>
              </w:tabs>
              <w:rPr>
                <w:b/>
              </w:rPr>
            </w:pPr>
            <w:r w:rsidRPr="006E0703">
              <w:rPr>
                <w:b/>
              </w:rPr>
              <w:t>Desirable</w:t>
            </w:r>
          </w:p>
        </w:tc>
      </w:tr>
      <w:tr w:rsidR="006E0703" w:rsidRPr="006E0703" w14:paraId="382FE901" w14:textId="77777777" w:rsidTr="007A1612">
        <w:trPr>
          <w:cantSplit/>
          <w:trHeight w:val="2044"/>
        </w:trPr>
        <w:tc>
          <w:tcPr>
            <w:tcW w:w="2808" w:type="dxa"/>
            <w:tcBorders>
              <w:top w:val="single" w:sz="4" w:space="0" w:color="auto"/>
              <w:left w:val="single" w:sz="4" w:space="0" w:color="auto"/>
              <w:bottom w:val="single" w:sz="4" w:space="0" w:color="auto"/>
              <w:right w:val="single" w:sz="4" w:space="0" w:color="auto"/>
            </w:tcBorders>
          </w:tcPr>
          <w:p w14:paraId="3AE8F96D" w14:textId="77777777" w:rsidR="006E0703" w:rsidRPr="006E0703" w:rsidRDefault="006E0703" w:rsidP="006E0703">
            <w:pPr>
              <w:tabs>
                <w:tab w:val="left" w:pos="720"/>
                <w:tab w:val="center" w:pos="4513"/>
                <w:tab w:val="right" w:pos="9026"/>
              </w:tabs>
              <w:rPr>
                <w:b/>
              </w:rPr>
            </w:pPr>
            <w:r w:rsidRPr="006E0703">
              <w:rPr>
                <w:b/>
              </w:rPr>
              <w:t>General Experience:</w:t>
            </w:r>
          </w:p>
          <w:p w14:paraId="16B5995A" w14:textId="77777777" w:rsidR="006E0703" w:rsidRPr="006E0703" w:rsidRDefault="006E0703" w:rsidP="006E0703">
            <w:pPr>
              <w:numPr>
                <w:ilvl w:val="0"/>
                <w:numId w:val="3"/>
              </w:numPr>
              <w:tabs>
                <w:tab w:val="center" w:pos="4153"/>
                <w:tab w:val="right" w:pos="8306"/>
              </w:tabs>
              <w:rPr>
                <w:b/>
              </w:rPr>
            </w:pPr>
            <w:r w:rsidRPr="006E0703">
              <w:t>Expertise in generalist field</w:t>
            </w:r>
          </w:p>
          <w:p w14:paraId="4FC8C180" w14:textId="77777777" w:rsidR="006E0703" w:rsidRPr="006E0703" w:rsidRDefault="006E0703" w:rsidP="006E0703">
            <w:pPr>
              <w:tabs>
                <w:tab w:val="left" w:pos="720"/>
                <w:tab w:val="center" w:pos="4513"/>
                <w:tab w:val="right" w:pos="9026"/>
              </w:tabs>
            </w:pPr>
          </w:p>
          <w:p w14:paraId="63B420FE" w14:textId="77777777" w:rsidR="006E0703" w:rsidRPr="006E0703" w:rsidRDefault="006E0703" w:rsidP="006E0703">
            <w:pPr>
              <w:tabs>
                <w:tab w:val="center" w:pos="4513"/>
                <w:tab w:val="right" w:pos="9026"/>
              </w:tabs>
              <w:rPr>
                <w:b/>
              </w:rPr>
            </w:pPr>
          </w:p>
        </w:tc>
        <w:tc>
          <w:tcPr>
            <w:tcW w:w="3960" w:type="dxa"/>
            <w:tcBorders>
              <w:top w:val="single" w:sz="4" w:space="0" w:color="auto"/>
              <w:left w:val="single" w:sz="4" w:space="0" w:color="auto"/>
              <w:bottom w:val="single" w:sz="4" w:space="0" w:color="auto"/>
              <w:right w:val="single" w:sz="4" w:space="0" w:color="auto"/>
            </w:tcBorders>
          </w:tcPr>
          <w:p w14:paraId="1DA4A40F" w14:textId="3A9FA59E" w:rsidR="00BF7E9C" w:rsidRDefault="00BF7E9C" w:rsidP="006E0703">
            <w:pPr>
              <w:numPr>
                <w:ilvl w:val="0"/>
                <w:numId w:val="2"/>
              </w:numPr>
              <w:tabs>
                <w:tab w:val="num" w:pos="360"/>
                <w:tab w:val="center" w:pos="4153"/>
                <w:tab w:val="right" w:pos="8306"/>
              </w:tabs>
              <w:ind w:left="360"/>
            </w:pPr>
            <w:r>
              <w:t>Strong basic medical and haematological knowledge commensurate with completion of general medical training</w:t>
            </w:r>
          </w:p>
          <w:p w14:paraId="592D6963" w14:textId="72CDEF97" w:rsidR="00BF7E9C" w:rsidRDefault="00BF7E9C" w:rsidP="006E0703">
            <w:pPr>
              <w:numPr>
                <w:ilvl w:val="0"/>
                <w:numId w:val="2"/>
              </w:numPr>
              <w:tabs>
                <w:tab w:val="num" w:pos="360"/>
                <w:tab w:val="center" w:pos="4153"/>
                <w:tab w:val="right" w:pos="8306"/>
              </w:tabs>
              <w:ind w:left="360"/>
            </w:pPr>
            <w:r>
              <w:t>Ability to deal with acute medical problems with indirect supervision</w:t>
            </w:r>
          </w:p>
          <w:p w14:paraId="30CC1B86" w14:textId="6F4AA4E4" w:rsidR="006E0703" w:rsidRPr="006E0703" w:rsidRDefault="006E0703" w:rsidP="006E0703">
            <w:pPr>
              <w:numPr>
                <w:ilvl w:val="0"/>
                <w:numId w:val="2"/>
              </w:numPr>
              <w:tabs>
                <w:tab w:val="num" w:pos="360"/>
                <w:tab w:val="center" w:pos="4153"/>
                <w:tab w:val="right" w:pos="8306"/>
              </w:tabs>
              <w:ind w:left="360"/>
            </w:pPr>
            <w:r w:rsidRPr="006E0703">
              <w:t>Ability to communicate effectively with all levels of staff and patients</w:t>
            </w:r>
          </w:p>
          <w:p w14:paraId="2148C28B" w14:textId="77777777" w:rsidR="006E0703" w:rsidRPr="006E0703" w:rsidRDefault="006E0703" w:rsidP="006E0703">
            <w:pPr>
              <w:numPr>
                <w:ilvl w:val="0"/>
                <w:numId w:val="2"/>
              </w:numPr>
              <w:tabs>
                <w:tab w:val="num" w:pos="360"/>
                <w:tab w:val="center" w:pos="4153"/>
                <w:tab w:val="right" w:pos="8306"/>
              </w:tabs>
              <w:ind w:left="360"/>
            </w:pPr>
            <w:r w:rsidRPr="006E0703">
              <w:t>Ability to work efficiently and timeously</w:t>
            </w:r>
          </w:p>
          <w:p w14:paraId="7F5C0052" w14:textId="77777777" w:rsidR="006E0703" w:rsidRPr="006E0703" w:rsidRDefault="006E0703" w:rsidP="006E0703">
            <w:pPr>
              <w:numPr>
                <w:ilvl w:val="0"/>
                <w:numId w:val="2"/>
              </w:numPr>
              <w:tabs>
                <w:tab w:val="num" w:pos="360"/>
                <w:tab w:val="center" w:pos="4153"/>
                <w:tab w:val="right" w:pos="8306"/>
              </w:tabs>
              <w:ind w:left="360"/>
            </w:pPr>
            <w:r w:rsidRPr="006E0703">
              <w:t>IT literacy</w:t>
            </w:r>
          </w:p>
          <w:p w14:paraId="078541FA" w14:textId="77777777" w:rsidR="006E0703" w:rsidRPr="006E0703" w:rsidRDefault="006E0703" w:rsidP="006E0703">
            <w:pPr>
              <w:tabs>
                <w:tab w:val="left" w:pos="720"/>
                <w:tab w:val="center" w:pos="4513"/>
                <w:tab w:val="right" w:pos="9026"/>
              </w:tabs>
            </w:pPr>
          </w:p>
        </w:tc>
        <w:tc>
          <w:tcPr>
            <w:tcW w:w="3263" w:type="dxa"/>
            <w:tcBorders>
              <w:top w:val="single" w:sz="4" w:space="0" w:color="auto"/>
              <w:left w:val="single" w:sz="4" w:space="0" w:color="auto"/>
              <w:bottom w:val="single" w:sz="4" w:space="0" w:color="auto"/>
              <w:right w:val="single" w:sz="4" w:space="0" w:color="auto"/>
            </w:tcBorders>
          </w:tcPr>
          <w:p w14:paraId="1E40D4C9" w14:textId="5566B9F5" w:rsidR="006E0703" w:rsidRPr="00BF7E9C" w:rsidRDefault="00BF7E9C" w:rsidP="00BF7E9C">
            <w:pPr>
              <w:pStyle w:val="ListParagraph"/>
              <w:numPr>
                <w:ilvl w:val="0"/>
                <w:numId w:val="2"/>
              </w:numPr>
              <w:tabs>
                <w:tab w:val="center" w:pos="4153"/>
                <w:tab w:val="right" w:pos="8306"/>
              </w:tabs>
              <w:ind w:right="175"/>
            </w:pPr>
            <w:r w:rsidRPr="00BF7E9C">
              <w:t>S</w:t>
            </w:r>
            <w:r>
              <w:t>pecialist knowledge of Ha</w:t>
            </w:r>
            <w:r w:rsidRPr="00BF7E9C">
              <w:t>ematology</w:t>
            </w:r>
          </w:p>
        </w:tc>
      </w:tr>
      <w:tr w:rsidR="006E0703" w:rsidRPr="006E0703" w14:paraId="6BC690CC" w14:textId="77777777" w:rsidTr="007A1612">
        <w:trPr>
          <w:cantSplit/>
          <w:trHeight w:val="985"/>
        </w:trPr>
        <w:tc>
          <w:tcPr>
            <w:tcW w:w="2808" w:type="dxa"/>
            <w:tcBorders>
              <w:top w:val="single" w:sz="4" w:space="0" w:color="auto"/>
              <w:left w:val="single" w:sz="4" w:space="0" w:color="auto"/>
              <w:bottom w:val="single" w:sz="4" w:space="0" w:color="auto"/>
              <w:right w:val="single" w:sz="4" w:space="0" w:color="auto"/>
            </w:tcBorders>
          </w:tcPr>
          <w:p w14:paraId="210A97DE" w14:textId="50369636" w:rsidR="006E0703" w:rsidRPr="006E0703" w:rsidRDefault="006E0703" w:rsidP="006E0703">
            <w:pPr>
              <w:tabs>
                <w:tab w:val="left" w:pos="720"/>
                <w:tab w:val="center" w:pos="4513"/>
                <w:tab w:val="right" w:pos="9026"/>
              </w:tabs>
              <w:rPr>
                <w:b/>
              </w:rPr>
            </w:pPr>
            <w:r w:rsidRPr="006E0703">
              <w:rPr>
                <w:b/>
              </w:rPr>
              <w:t xml:space="preserve">Team Working </w:t>
            </w:r>
          </w:p>
          <w:p w14:paraId="2E70E495" w14:textId="77777777" w:rsidR="006E0703" w:rsidRPr="006E0703" w:rsidRDefault="006E0703" w:rsidP="006E0703">
            <w:pPr>
              <w:tabs>
                <w:tab w:val="left" w:pos="720"/>
                <w:tab w:val="center" w:pos="4513"/>
                <w:tab w:val="right" w:pos="9026"/>
              </w:tabs>
              <w:rPr>
                <w:b/>
              </w:rPr>
            </w:pPr>
          </w:p>
          <w:p w14:paraId="3BFE062A" w14:textId="77777777" w:rsidR="006E0703" w:rsidRPr="006E0703" w:rsidRDefault="006E0703" w:rsidP="006E0703">
            <w:pPr>
              <w:tabs>
                <w:tab w:val="left" w:pos="720"/>
                <w:tab w:val="center" w:pos="4513"/>
                <w:tab w:val="right" w:pos="9026"/>
              </w:tabs>
              <w:rPr>
                <w:b/>
              </w:rPr>
            </w:pPr>
          </w:p>
        </w:tc>
        <w:tc>
          <w:tcPr>
            <w:tcW w:w="3960" w:type="dxa"/>
            <w:tcBorders>
              <w:top w:val="single" w:sz="4" w:space="0" w:color="auto"/>
              <w:left w:val="single" w:sz="4" w:space="0" w:color="auto"/>
              <w:bottom w:val="single" w:sz="4" w:space="0" w:color="auto"/>
              <w:right w:val="single" w:sz="4" w:space="0" w:color="auto"/>
            </w:tcBorders>
          </w:tcPr>
          <w:p w14:paraId="1B3F5187" w14:textId="77777777" w:rsidR="006E0703" w:rsidRPr="006E0703" w:rsidRDefault="006E0703" w:rsidP="006E0703">
            <w:pPr>
              <w:numPr>
                <w:ilvl w:val="0"/>
                <w:numId w:val="8"/>
              </w:numPr>
              <w:tabs>
                <w:tab w:val="center" w:pos="4153"/>
                <w:tab w:val="right" w:pos="8306"/>
              </w:tabs>
            </w:pPr>
            <w:r w:rsidRPr="006E0703">
              <w:t>Effective Team Player</w:t>
            </w:r>
          </w:p>
        </w:tc>
        <w:tc>
          <w:tcPr>
            <w:tcW w:w="3263" w:type="dxa"/>
            <w:tcBorders>
              <w:top w:val="single" w:sz="4" w:space="0" w:color="auto"/>
              <w:left w:val="single" w:sz="4" w:space="0" w:color="auto"/>
              <w:bottom w:val="single" w:sz="4" w:space="0" w:color="auto"/>
              <w:right w:val="single" w:sz="4" w:space="0" w:color="auto"/>
            </w:tcBorders>
          </w:tcPr>
          <w:p w14:paraId="67275A78" w14:textId="77777777" w:rsidR="006E0703" w:rsidRPr="006E0703" w:rsidRDefault="006E0703" w:rsidP="006E0703">
            <w:pPr>
              <w:tabs>
                <w:tab w:val="left" w:pos="720"/>
                <w:tab w:val="center" w:pos="4513"/>
                <w:tab w:val="right" w:pos="9026"/>
              </w:tabs>
            </w:pPr>
          </w:p>
        </w:tc>
      </w:tr>
      <w:tr w:rsidR="006E0703" w:rsidRPr="006E0703" w14:paraId="0CBFBFBA" w14:textId="77777777" w:rsidTr="007A1612">
        <w:trPr>
          <w:cantSplit/>
          <w:trHeight w:val="1409"/>
        </w:trPr>
        <w:tc>
          <w:tcPr>
            <w:tcW w:w="2808" w:type="dxa"/>
            <w:tcBorders>
              <w:top w:val="single" w:sz="4" w:space="0" w:color="auto"/>
              <w:left w:val="single" w:sz="4" w:space="0" w:color="auto"/>
              <w:bottom w:val="single" w:sz="4" w:space="0" w:color="auto"/>
              <w:right w:val="single" w:sz="4" w:space="0" w:color="auto"/>
            </w:tcBorders>
          </w:tcPr>
          <w:p w14:paraId="3BADCED5" w14:textId="77777777" w:rsidR="006E0703" w:rsidRPr="006E0703" w:rsidRDefault="006E0703" w:rsidP="006E0703">
            <w:pPr>
              <w:tabs>
                <w:tab w:val="left" w:pos="720"/>
                <w:tab w:val="center" w:pos="4513"/>
                <w:tab w:val="right" w:pos="9026"/>
              </w:tabs>
            </w:pPr>
            <w:r w:rsidRPr="006E0703">
              <w:rPr>
                <w:b/>
              </w:rPr>
              <w:t>Development</w:t>
            </w:r>
          </w:p>
        </w:tc>
        <w:tc>
          <w:tcPr>
            <w:tcW w:w="3960" w:type="dxa"/>
            <w:tcBorders>
              <w:top w:val="single" w:sz="4" w:space="0" w:color="auto"/>
              <w:left w:val="single" w:sz="4" w:space="0" w:color="auto"/>
              <w:bottom w:val="single" w:sz="4" w:space="0" w:color="auto"/>
              <w:right w:val="single" w:sz="4" w:space="0" w:color="auto"/>
            </w:tcBorders>
          </w:tcPr>
          <w:p w14:paraId="15E48A70" w14:textId="77777777" w:rsidR="006E0703" w:rsidRPr="006E0703" w:rsidRDefault="006E0703" w:rsidP="006E0703">
            <w:pPr>
              <w:numPr>
                <w:ilvl w:val="0"/>
                <w:numId w:val="9"/>
              </w:numPr>
              <w:tabs>
                <w:tab w:val="center" w:pos="4153"/>
                <w:tab w:val="right" w:pos="8306"/>
              </w:tabs>
            </w:pPr>
            <w:r w:rsidRPr="006E0703">
              <w:t>Evidence of relevant Continuing Professional Development</w:t>
            </w:r>
          </w:p>
          <w:p w14:paraId="7B9FA1FB" w14:textId="77777777" w:rsidR="006E0703" w:rsidRPr="00BF7E9C" w:rsidRDefault="006E0703" w:rsidP="006E0703">
            <w:pPr>
              <w:keepNext/>
              <w:numPr>
                <w:ilvl w:val="0"/>
                <w:numId w:val="27"/>
              </w:numPr>
              <w:spacing w:before="60" w:after="60"/>
              <w:outlineLvl w:val="2"/>
              <w:rPr>
                <w:rFonts w:eastAsia="Times New Roman"/>
                <w:bCs/>
                <w:sz w:val="26"/>
              </w:rPr>
            </w:pPr>
            <w:r w:rsidRPr="00BF7E9C">
              <w:rPr>
                <w:rFonts w:eastAsia="Times New Roman"/>
                <w:bCs/>
                <w:sz w:val="26"/>
              </w:rPr>
              <w:t>Ability to provide a complete employment history</w:t>
            </w:r>
          </w:p>
          <w:p w14:paraId="36161C56" w14:textId="77777777" w:rsidR="006E0703" w:rsidRPr="006E0703" w:rsidRDefault="006E0703" w:rsidP="006E0703">
            <w:pPr>
              <w:numPr>
                <w:ilvl w:val="0"/>
                <w:numId w:val="27"/>
              </w:numPr>
              <w:tabs>
                <w:tab w:val="num" w:pos="0"/>
              </w:tabs>
            </w:pPr>
            <w:r w:rsidRPr="006E0703">
              <w:t xml:space="preserve">Evidence of satisfactory career progression </w:t>
            </w:r>
          </w:p>
          <w:p w14:paraId="0949D65A" w14:textId="77777777" w:rsidR="006E0703" w:rsidRPr="006E0703" w:rsidRDefault="006E0703" w:rsidP="006E0703">
            <w:pPr>
              <w:numPr>
                <w:ilvl w:val="0"/>
                <w:numId w:val="28"/>
              </w:numPr>
              <w:tabs>
                <w:tab w:val="num" w:pos="0"/>
                <w:tab w:val="num" w:pos="738"/>
              </w:tabs>
              <w:ind w:left="738"/>
            </w:pPr>
            <w:r w:rsidRPr="006E0703">
              <w:t>No unexplained career breaks</w:t>
            </w:r>
          </w:p>
          <w:p w14:paraId="39A33CBA" w14:textId="77777777" w:rsidR="006E0703" w:rsidRPr="006E0703" w:rsidRDefault="006E0703" w:rsidP="00BF7E9C">
            <w:pPr>
              <w:tabs>
                <w:tab w:val="num" w:pos="0"/>
              </w:tabs>
              <w:spacing w:before="120"/>
              <w:ind w:left="284"/>
            </w:pPr>
          </w:p>
        </w:tc>
        <w:tc>
          <w:tcPr>
            <w:tcW w:w="3263" w:type="dxa"/>
            <w:tcBorders>
              <w:top w:val="single" w:sz="4" w:space="0" w:color="auto"/>
              <w:left w:val="single" w:sz="4" w:space="0" w:color="auto"/>
              <w:bottom w:val="single" w:sz="4" w:space="0" w:color="auto"/>
              <w:right w:val="single" w:sz="4" w:space="0" w:color="auto"/>
            </w:tcBorders>
          </w:tcPr>
          <w:p w14:paraId="465D84E3" w14:textId="77777777" w:rsidR="006E0703" w:rsidRPr="006E0703" w:rsidRDefault="006E0703" w:rsidP="006E0703">
            <w:pPr>
              <w:tabs>
                <w:tab w:val="center" w:pos="4513"/>
                <w:tab w:val="right" w:pos="9026"/>
              </w:tabs>
            </w:pPr>
          </w:p>
        </w:tc>
      </w:tr>
      <w:tr w:rsidR="006E0703" w:rsidRPr="006E0703" w14:paraId="0B7BBEDF" w14:textId="77777777" w:rsidTr="007A1612">
        <w:trPr>
          <w:cantSplit/>
          <w:trHeight w:val="975"/>
        </w:trPr>
        <w:tc>
          <w:tcPr>
            <w:tcW w:w="2808" w:type="dxa"/>
            <w:tcBorders>
              <w:top w:val="single" w:sz="4" w:space="0" w:color="auto"/>
              <w:left w:val="single" w:sz="4" w:space="0" w:color="auto"/>
              <w:bottom w:val="single" w:sz="4" w:space="0" w:color="auto"/>
              <w:right w:val="single" w:sz="4" w:space="0" w:color="auto"/>
            </w:tcBorders>
          </w:tcPr>
          <w:p w14:paraId="332AEC15" w14:textId="77777777" w:rsidR="006E0703" w:rsidRPr="006E0703" w:rsidRDefault="006E0703" w:rsidP="006E0703">
            <w:pPr>
              <w:tabs>
                <w:tab w:val="left" w:pos="720"/>
                <w:tab w:val="center" w:pos="4513"/>
                <w:tab w:val="right" w:pos="9026"/>
              </w:tabs>
              <w:rPr>
                <w:b/>
              </w:rPr>
            </w:pPr>
            <w:r w:rsidRPr="006E0703">
              <w:rPr>
                <w:b/>
              </w:rPr>
              <w:t>Teaching &amp; Training</w:t>
            </w:r>
          </w:p>
        </w:tc>
        <w:tc>
          <w:tcPr>
            <w:tcW w:w="3960" w:type="dxa"/>
            <w:tcBorders>
              <w:top w:val="single" w:sz="4" w:space="0" w:color="auto"/>
              <w:left w:val="single" w:sz="4" w:space="0" w:color="auto"/>
              <w:bottom w:val="single" w:sz="4" w:space="0" w:color="auto"/>
              <w:right w:val="single" w:sz="4" w:space="0" w:color="auto"/>
            </w:tcBorders>
          </w:tcPr>
          <w:p w14:paraId="10AFAD3C" w14:textId="40556178" w:rsidR="006E0703" w:rsidRPr="006E0703" w:rsidRDefault="006E0703" w:rsidP="00BF7E9C">
            <w:pPr>
              <w:tabs>
                <w:tab w:val="center" w:pos="4153"/>
                <w:tab w:val="right" w:pos="8306"/>
              </w:tabs>
              <w:ind w:left="360"/>
            </w:pPr>
          </w:p>
        </w:tc>
        <w:tc>
          <w:tcPr>
            <w:tcW w:w="3263" w:type="dxa"/>
            <w:tcBorders>
              <w:top w:val="single" w:sz="4" w:space="0" w:color="auto"/>
              <w:left w:val="single" w:sz="4" w:space="0" w:color="auto"/>
              <w:bottom w:val="single" w:sz="4" w:space="0" w:color="auto"/>
              <w:right w:val="single" w:sz="4" w:space="0" w:color="auto"/>
            </w:tcBorders>
          </w:tcPr>
          <w:p w14:paraId="3E9594D7" w14:textId="2FC056D2" w:rsidR="006E0703" w:rsidRPr="006E0703" w:rsidRDefault="00BF7E9C" w:rsidP="00BF7E9C">
            <w:pPr>
              <w:pStyle w:val="ListParagraph"/>
              <w:numPr>
                <w:ilvl w:val="0"/>
                <w:numId w:val="9"/>
              </w:numPr>
              <w:tabs>
                <w:tab w:val="center" w:pos="4513"/>
                <w:tab w:val="right" w:pos="9026"/>
              </w:tabs>
            </w:pPr>
            <w:r>
              <w:t>Experience of small group teaching of undergraduates</w:t>
            </w:r>
          </w:p>
        </w:tc>
      </w:tr>
      <w:tr w:rsidR="006E0703" w:rsidRPr="006E0703" w14:paraId="413F399E" w14:textId="77777777" w:rsidTr="007A1612">
        <w:trPr>
          <w:cantSplit/>
          <w:trHeight w:val="848"/>
        </w:trPr>
        <w:tc>
          <w:tcPr>
            <w:tcW w:w="2808" w:type="dxa"/>
            <w:tcBorders>
              <w:top w:val="single" w:sz="4" w:space="0" w:color="auto"/>
              <w:left w:val="single" w:sz="4" w:space="0" w:color="auto"/>
              <w:bottom w:val="single" w:sz="4" w:space="0" w:color="auto"/>
              <w:right w:val="single" w:sz="4" w:space="0" w:color="auto"/>
            </w:tcBorders>
          </w:tcPr>
          <w:p w14:paraId="25561E6C" w14:textId="77777777" w:rsidR="006E0703" w:rsidRPr="006E0703" w:rsidRDefault="006E0703" w:rsidP="006E0703">
            <w:pPr>
              <w:tabs>
                <w:tab w:val="left" w:pos="720"/>
                <w:tab w:val="center" w:pos="4513"/>
                <w:tab w:val="right" w:pos="9026"/>
              </w:tabs>
            </w:pPr>
            <w:r w:rsidRPr="006E0703">
              <w:rPr>
                <w:b/>
              </w:rPr>
              <w:t>Research &amp; Publications</w:t>
            </w:r>
          </w:p>
        </w:tc>
        <w:tc>
          <w:tcPr>
            <w:tcW w:w="3960" w:type="dxa"/>
            <w:tcBorders>
              <w:top w:val="single" w:sz="4" w:space="0" w:color="auto"/>
              <w:left w:val="single" w:sz="4" w:space="0" w:color="auto"/>
              <w:bottom w:val="single" w:sz="4" w:space="0" w:color="auto"/>
              <w:right w:val="single" w:sz="4" w:space="0" w:color="auto"/>
            </w:tcBorders>
          </w:tcPr>
          <w:p w14:paraId="73D9CB8E" w14:textId="77777777" w:rsidR="006E0703" w:rsidRPr="006E0703" w:rsidRDefault="006E0703" w:rsidP="006E0703">
            <w:pPr>
              <w:tabs>
                <w:tab w:val="center" w:pos="4513"/>
                <w:tab w:val="right" w:pos="9026"/>
              </w:tabs>
            </w:pPr>
          </w:p>
        </w:tc>
        <w:tc>
          <w:tcPr>
            <w:tcW w:w="3263" w:type="dxa"/>
            <w:tcBorders>
              <w:top w:val="single" w:sz="4" w:space="0" w:color="auto"/>
              <w:left w:val="single" w:sz="4" w:space="0" w:color="auto"/>
              <w:bottom w:val="single" w:sz="4" w:space="0" w:color="auto"/>
              <w:right w:val="single" w:sz="4" w:space="0" w:color="auto"/>
            </w:tcBorders>
          </w:tcPr>
          <w:p w14:paraId="0562FAE1" w14:textId="77777777" w:rsidR="006E0703" w:rsidRPr="006E0703" w:rsidRDefault="006E0703" w:rsidP="006E0703">
            <w:pPr>
              <w:numPr>
                <w:ilvl w:val="0"/>
                <w:numId w:val="25"/>
              </w:numPr>
              <w:tabs>
                <w:tab w:val="center" w:pos="4153"/>
                <w:tab w:val="right" w:pos="8306"/>
              </w:tabs>
            </w:pPr>
            <w:r w:rsidRPr="006E0703">
              <w:t xml:space="preserve">Evidence of publications. </w:t>
            </w:r>
          </w:p>
        </w:tc>
      </w:tr>
      <w:tr w:rsidR="006E0703" w:rsidRPr="006E0703" w14:paraId="3511797D" w14:textId="77777777" w:rsidTr="007A1612">
        <w:trPr>
          <w:cantSplit/>
        </w:trPr>
        <w:tc>
          <w:tcPr>
            <w:tcW w:w="2808" w:type="dxa"/>
            <w:tcBorders>
              <w:top w:val="single" w:sz="4" w:space="0" w:color="auto"/>
              <w:left w:val="single" w:sz="4" w:space="0" w:color="auto"/>
              <w:bottom w:val="single" w:sz="4" w:space="0" w:color="auto"/>
              <w:right w:val="single" w:sz="4" w:space="0" w:color="auto"/>
            </w:tcBorders>
          </w:tcPr>
          <w:p w14:paraId="31923EDC" w14:textId="77777777" w:rsidR="006E0703" w:rsidRPr="006E0703" w:rsidRDefault="006E0703" w:rsidP="006E0703">
            <w:pPr>
              <w:tabs>
                <w:tab w:val="left" w:pos="720"/>
                <w:tab w:val="center" w:pos="4513"/>
                <w:tab w:val="right" w:pos="9026"/>
              </w:tabs>
              <w:rPr>
                <w:b/>
              </w:rPr>
            </w:pPr>
            <w:r w:rsidRPr="006E0703">
              <w:rPr>
                <w:b/>
              </w:rPr>
              <w:t>Clinical Audit</w:t>
            </w:r>
          </w:p>
        </w:tc>
        <w:tc>
          <w:tcPr>
            <w:tcW w:w="3960" w:type="dxa"/>
            <w:tcBorders>
              <w:top w:val="single" w:sz="4" w:space="0" w:color="auto"/>
              <w:left w:val="single" w:sz="4" w:space="0" w:color="auto"/>
              <w:bottom w:val="single" w:sz="4" w:space="0" w:color="auto"/>
              <w:right w:val="single" w:sz="4" w:space="0" w:color="auto"/>
            </w:tcBorders>
          </w:tcPr>
          <w:p w14:paraId="52825D4E" w14:textId="77777777" w:rsidR="006E0703" w:rsidRPr="006E0703" w:rsidRDefault="006E0703" w:rsidP="006E0703">
            <w:pPr>
              <w:numPr>
                <w:ilvl w:val="0"/>
                <w:numId w:val="25"/>
              </w:numPr>
              <w:tabs>
                <w:tab w:val="center" w:pos="4153"/>
                <w:tab w:val="right" w:pos="8306"/>
              </w:tabs>
            </w:pPr>
            <w:r w:rsidRPr="006E0703">
              <w:t>Evidence of participation in audit</w:t>
            </w:r>
          </w:p>
          <w:p w14:paraId="6E425BF0" w14:textId="77777777" w:rsidR="006E0703" w:rsidRPr="006E0703" w:rsidRDefault="006E0703" w:rsidP="006E0703">
            <w:pPr>
              <w:tabs>
                <w:tab w:val="left" w:pos="720"/>
                <w:tab w:val="center" w:pos="4513"/>
                <w:tab w:val="right" w:pos="9026"/>
              </w:tabs>
            </w:pPr>
          </w:p>
        </w:tc>
        <w:tc>
          <w:tcPr>
            <w:tcW w:w="3263" w:type="dxa"/>
            <w:tcBorders>
              <w:top w:val="single" w:sz="4" w:space="0" w:color="auto"/>
              <w:left w:val="single" w:sz="4" w:space="0" w:color="auto"/>
              <w:bottom w:val="single" w:sz="4" w:space="0" w:color="auto"/>
              <w:right w:val="single" w:sz="4" w:space="0" w:color="auto"/>
            </w:tcBorders>
          </w:tcPr>
          <w:p w14:paraId="02CE07E4" w14:textId="77777777" w:rsidR="006E0703" w:rsidRPr="006E0703" w:rsidRDefault="006E0703" w:rsidP="006E0703">
            <w:pPr>
              <w:tabs>
                <w:tab w:val="left" w:pos="720"/>
                <w:tab w:val="center" w:pos="4513"/>
                <w:tab w:val="right" w:pos="9026"/>
              </w:tabs>
            </w:pPr>
          </w:p>
        </w:tc>
      </w:tr>
      <w:tr w:rsidR="006E0703" w:rsidRPr="006E0703" w14:paraId="1867CD62" w14:textId="77777777" w:rsidTr="007A1612">
        <w:trPr>
          <w:cantSplit/>
          <w:trHeight w:val="1835"/>
        </w:trPr>
        <w:tc>
          <w:tcPr>
            <w:tcW w:w="2808" w:type="dxa"/>
            <w:tcBorders>
              <w:top w:val="single" w:sz="4" w:space="0" w:color="auto"/>
              <w:left w:val="single" w:sz="4" w:space="0" w:color="auto"/>
              <w:bottom w:val="single" w:sz="4" w:space="0" w:color="auto"/>
              <w:right w:val="single" w:sz="4" w:space="0" w:color="auto"/>
            </w:tcBorders>
          </w:tcPr>
          <w:p w14:paraId="7A6E8B13" w14:textId="77777777" w:rsidR="006E0703" w:rsidRPr="006E0703" w:rsidRDefault="006E0703" w:rsidP="006E0703">
            <w:pPr>
              <w:tabs>
                <w:tab w:val="left" w:pos="720"/>
                <w:tab w:val="center" w:pos="4513"/>
                <w:tab w:val="right" w:pos="9026"/>
              </w:tabs>
              <w:rPr>
                <w:b/>
              </w:rPr>
            </w:pPr>
            <w:r w:rsidRPr="006E0703">
              <w:rPr>
                <w:b/>
              </w:rPr>
              <w:lastRenderedPageBreak/>
              <w:t>Management and Administration</w:t>
            </w:r>
          </w:p>
        </w:tc>
        <w:tc>
          <w:tcPr>
            <w:tcW w:w="3960" w:type="dxa"/>
            <w:tcBorders>
              <w:top w:val="single" w:sz="4" w:space="0" w:color="auto"/>
              <w:left w:val="single" w:sz="4" w:space="0" w:color="auto"/>
              <w:bottom w:val="single" w:sz="4" w:space="0" w:color="auto"/>
              <w:right w:val="single" w:sz="4" w:space="0" w:color="auto"/>
            </w:tcBorders>
          </w:tcPr>
          <w:p w14:paraId="7DDA4080" w14:textId="77777777" w:rsidR="006E0703" w:rsidRPr="006E0703" w:rsidRDefault="006E0703" w:rsidP="006E0703">
            <w:pPr>
              <w:numPr>
                <w:ilvl w:val="0"/>
                <w:numId w:val="12"/>
              </w:numPr>
              <w:tabs>
                <w:tab w:val="center" w:pos="4153"/>
                <w:tab w:val="right" w:pos="8306"/>
              </w:tabs>
            </w:pPr>
            <w:r w:rsidRPr="006E0703">
              <w:t>Proven organisational skills</w:t>
            </w:r>
          </w:p>
          <w:p w14:paraId="38E95E38" w14:textId="77777777" w:rsidR="006E0703" w:rsidRPr="006E0703" w:rsidRDefault="006E0703" w:rsidP="006E0703">
            <w:pPr>
              <w:spacing w:before="60" w:after="60"/>
            </w:pPr>
            <w:r w:rsidRPr="006E0703">
              <w:t>All applicants to have demonstrable skills in written and spoken English adequate to enable effective communication about medical topics with patients and colleagues demonstrated by one of the following:</w:t>
            </w:r>
          </w:p>
          <w:p w14:paraId="6BD05D96" w14:textId="77777777" w:rsidR="006E0703" w:rsidRPr="006E0703" w:rsidRDefault="006E0703" w:rsidP="006E0703">
            <w:pPr>
              <w:numPr>
                <w:ilvl w:val="1"/>
                <w:numId w:val="27"/>
              </w:numPr>
              <w:spacing w:before="60" w:after="60"/>
              <w:ind w:left="600" w:hanging="283"/>
            </w:pPr>
            <w:r w:rsidRPr="006E0703">
              <w:t xml:space="preserve">a) that applicants have undertaken undergraduate medical training in English; or </w:t>
            </w:r>
          </w:p>
          <w:p w14:paraId="33A33C21" w14:textId="77777777" w:rsidR="006E0703" w:rsidRPr="006E0703" w:rsidRDefault="006E0703" w:rsidP="006E0703">
            <w:pPr>
              <w:numPr>
                <w:ilvl w:val="1"/>
                <w:numId w:val="27"/>
              </w:numPr>
              <w:spacing w:before="60" w:after="60"/>
              <w:ind w:left="600" w:hanging="283"/>
            </w:pPr>
            <w:r w:rsidRPr="006E0703">
              <w:t xml:space="preserve">b) </w:t>
            </w:r>
            <w:proofErr w:type="gramStart"/>
            <w:r w:rsidRPr="006E0703">
              <w:t>have</w:t>
            </w:r>
            <w:proofErr w:type="gramEnd"/>
            <w:r w:rsidRPr="006E0703">
              <w:t xml:space="preserve"> the following scores in the academic </w:t>
            </w:r>
            <w:proofErr w:type="spellStart"/>
            <w:r w:rsidRPr="006E0703">
              <w:t>lnternational</w:t>
            </w:r>
            <w:proofErr w:type="spellEnd"/>
            <w:r w:rsidRPr="006E0703">
              <w:t xml:space="preserve"> English Language Testing System (IELTS) – Overall 7, Speaking 7, Listening 6, Reading 6, Writing 6. </w:t>
            </w:r>
          </w:p>
          <w:p w14:paraId="1846828D" w14:textId="77777777" w:rsidR="006E0703" w:rsidRPr="006E0703" w:rsidRDefault="006E0703" w:rsidP="006E0703">
            <w:pPr>
              <w:numPr>
                <w:ilvl w:val="0"/>
                <w:numId w:val="12"/>
              </w:numPr>
              <w:tabs>
                <w:tab w:val="center" w:pos="4153"/>
                <w:tab w:val="right" w:pos="8306"/>
              </w:tabs>
            </w:pPr>
            <w:r w:rsidRPr="006E0703">
              <w:t>If applicants believe they have adequate communication skills but do not fit into one of these examples they must provide supporting evidence</w:t>
            </w:r>
          </w:p>
        </w:tc>
        <w:tc>
          <w:tcPr>
            <w:tcW w:w="3263" w:type="dxa"/>
            <w:tcBorders>
              <w:top w:val="single" w:sz="4" w:space="0" w:color="auto"/>
              <w:left w:val="single" w:sz="4" w:space="0" w:color="auto"/>
              <w:bottom w:val="single" w:sz="4" w:space="0" w:color="auto"/>
              <w:right w:val="single" w:sz="4" w:space="0" w:color="auto"/>
            </w:tcBorders>
          </w:tcPr>
          <w:p w14:paraId="640B166A" w14:textId="77777777" w:rsidR="006E0703" w:rsidRPr="006E0703" w:rsidRDefault="006E0703" w:rsidP="006E0703">
            <w:pPr>
              <w:numPr>
                <w:ilvl w:val="0"/>
                <w:numId w:val="13"/>
              </w:numPr>
              <w:tabs>
                <w:tab w:val="center" w:pos="4153"/>
                <w:tab w:val="right" w:pos="8306"/>
              </w:tabs>
            </w:pPr>
            <w:r w:rsidRPr="006E0703">
              <w:t>Understanding of resource management and quality assurance.</w:t>
            </w:r>
          </w:p>
        </w:tc>
      </w:tr>
      <w:tr w:rsidR="006E0703" w:rsidRPr="006E0703" w14:paraId="089F0F0D" w14:textId="77777777" w:rsidTr="007A1612">
        <w:trPr>
          <w:cantSplit/>
          <w:trHeight w:val="1100"/>
        </w:trPr>
        <w:tc>
          <w:tcPr>
            <w:tcW w:w="2808" w:type="dxa"/>
            <w:tcBorders>
              <w:top w:val="single" w:sz="4" w:space="0" w:color="auto"/>
              <w:left w:val="single" w:sz="4" w:space="0" w:color="auto"/>
              <w:bottom w:val="single" w:sz="4" w:space="0" w:color="auto"/>
              <w:right w:val="single" w:sz="4" w:space="0" w:color="auto"/>
            </w:tcBorders>
          </w:tcPr>
          <w:p w14:paraId="613ED927" w14:textId="77777777" w:rsidR="006E0703" w:rsidRPr="006E0703" w:rsidRDefault="006E0703" w:rsidP="006E0703">
            <w:pPr>
              <w:tabs>
                <w:tab w:val="left" w:pos="720"/>
                <w:tab w:val="center" w:pos="4513"/>
                <w:tab w:val="right" w:pos="9026"/>
              </w:tabs>
              <w:rPr>
                <w:b/>
              </w:rPr>
            </w:pPr>
            <w:r w:rsidRPr="006E0703">
              <w:rPr>
                <w:b/>
              </w:rPr>
              <w:t>Personal and Interpersonal Skills</w:t>
            </w:r>
          </w:p>
        </w:tc>
        <w:tc>
          <w:tcPr>
            <w:tcW w:w="3960" w:type="dxa"/>
            <w:tcBorders>
              <w:top w:val="single" w:sz="4" w:space="0" w:color="auto"/>
              <w:left w:val="single" w:sz="4" w:space="0" w:color="auto"/>
              <w:bottom w:val="single" w:sz="4" w:space="0" w:color="auto"/>
              <w:right w:val="single" w:sz="4" w:space="0" w:color="auto"/>
            </w:tcBorders>
          </w:tcPr>
          <w:p w14:paraId="431DA1FB" w14:textId="77777777" w:rsidR="006E0703" w:rsidRPr="006E0703" w:rsidRDefault="006E0703" w:rsidP="006E0703">
            <w:pPr>
              <w:numPr>
                <w:ilvl w:val="0"/>
                <w:numId w:val="14"/>
              </w:numPr>
              <w:tabs>
                <w:tab w:val="center" w:pos="4153"/>
                <w:tab w:val="right" w:pos="8306"/>
              </w:tabs>
            </w:pPr>
            <w:r w:rsidRPr="006E0703">
              <w:t>A willingness to accept flexibility to meet the changing needs of the NHS in Scotland</w:t>
            </w:r>
          </w:p>
          <w:p w14:paraId="62DBFAD7" w14:textId="77777777" w:rsidR="006E0703" w:rsidRPr="006E0703" w:rsidRDefault="006E0703" w:rsidP="006E0703">
            <w:pPr>
              <w:numPr>
                <w:ilvl w:val="0"/>
                <w:numId w:val="15"/>
              </w:numPr>
              <w:tabs>
                <w:tab w:val="center" w:pos="4153"/>
                <w:tab w:val="right" w:pos="8306"/>
              </w:tabs>
            </w:pPr>
            <w:r w:rsidRPr="006E0703">
              <w:t>Effective communicator</w:t>
            </w:r>
          </w:p>
          <w:p w14:paraId="3030322C" w14:textId="00A49594" w:rsidR="006E0703" w:rsidRPr="006E0703" w:rsidRDefault="00BF7E9C" w:rsidP="006E0703">
            <w:pPr>
              <w:numPr>
                <w:ilvl w:val="0"/>
                <w:numId w:val="16"/>
              </w:numPr>
              <w:tabs>
                <w:tab w:val="center" w:pos="4153"/>
                <w:tab w:val="right" w:pos="8306"/>
              </w:tabs>
            </w:pPr>
            <w:r>
              <w:t xml:space="preserve">Open and </w:t>
            </w:r>
            <w:r w:rsidR="006E0703" w:rsidRPr="006E0703">
              <w:t>non-confrontational</w:t>
            </w:r>
          </w:p>
        </w:tc>
        <w:tc>
          <w:tcPr>
            <w:tcW w:w="3263" w:type="dxa"/>
            <w:tcBorders>
              <w:top w:val="single" w:sz="4" w:space="0" w:color="auto"/>
              <w:left w:val="single" w:sz="4" w:space="0" w:color="auto"/>
              <w:bottom w:val="single" w:sz="4" w:space="0" w:color="auto"/>
              <w:right w:val="single" w:sz="4" w:space="0" w:color="auto"/>
            </w:tcBorders>
          </w:tcPr>
          <w:p w14:paraId="4401802D" w14:textId="77777777" w:rsidR="006E0703" w:rsidRPr="006E0703" w:rsidRDefault="006E0703" w:rsidP="006E0703">
            <w:pPr>
              <w:numPr>
                <w:ilvl w:val="0"/>
                <w:numId w:val="17"/>
              </w:numPr>
              <w:tabs>
                <w:tab w:val="center" w:pos="4153"/>
                <w:tab w:val="right" w:pos="8306"/>
              </w:tabs>
            </w:pPr>
            <w:r w:rsidRPr="006E0703">
              <w:t>Knowledge of recent changes in the NHS in Scotland</w:t>
            </w:r>
          </w:p>
        </w:tc>
      </w:tr>
    </w:tbl>
    <w:p w14:paraId="286B4666" w14:textId="77777777" w:rsidR="00550403" w:rsidRDefault="00550403" w:rsidP="00550403">
      <w:pPr>
        <w:pStyle w:val="Header"/>
        <w:rPr>
          <w:b/>
          <w:bCs/>
          <w:sz w:val="28"/>
          <w:szCs w:val="28"/>
        </w:rPr>
      </w:pPr>
    </w:p>
    <w:p w14:paraId="236A7AC6" w14:textId="77777777" w:rsidR="00AA7827" w:rsidRDefault="00AA7827"/>
    <w:p w14:paraId="46F4D5BF" w14:textId="77777777" w:rsidR="00AA7827" w:rsidRDefault="00AA7827"/>
    <w:p w14:paraId="39B8D5BB" w14:textId="77777777" w:rsidR="00AA7827" w:rsidRDefault="00AA7827"/>
    <w:p w14:paraId="02EC3C81" w14:textId="77777777" w:rsidR="00AA7827" w:rsidRDefault="00AA7827"/>
    <w:sectPr w:rsidR="00AA7827" w:rsidSect="00F80FD7">
      <w:pgSz w:w="11906" w:h="16838"/>
      <w:pgMar w:top="1440" w:right="1440" w:bottom="1440" w:left="1440" w:header="709" w:footer="709"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75FC4D" w14:textId="77777777" w:rsidR="00935F30" w:rsidRDefault="00935F30" w:rsidP="0070498B">
      <w:r>
        <w:separator/>
      </w:r>
    </w:p>
  </w:endnote>
  <w:endnote w:type="continuationSeparator" w:id="0">
    <w:p w14:paraId="3E1EED26" w14:textId="77777777" w:rsidR="00935F30" w:rsidRDefault="00935F30" w:rsidP="00704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584AAE" w14:textId="77777777" w:rsidR="00550403" w:rsidRDefault="00550403" w:rsidP="00097EFD">
    <w:pPr>
      <w:pStyle w:val="Footer"/>
    </w:pPr>
    <w:r>
      <w:t>NHS Ayrshire &amp; Arran Medical Job Description</w:t>
    </w:r>
    <w:r>
      <w:tab/>
    </w:r>
    <w:r>
      <w:tab/>
      <w:t xml:space="preserve"> </w:t>
    </w:r>
    <w:r w:rsidR="007D76A3">
      <w:rPr>
        <w:noProof/>
      </w:rPr>
      <w:fldChar w:fldCharType="begin"/>
    </w:r>
    <w:r w:rsidR="00432F09">
      <w:rPr>
        <w:noProof/>
      </w:rPr>
      <w:instrText xml:space="preserve"> PAGE   \* MERGEFORMAT </w:instrText>
    </w:r>
    <w:r w:rsidR="007D76A3">
      <w:rPr>
        <w:noProof/>
      </w:rPr>
      <w:fldChar w:fldCharType="separate"/>
    </w:r>
    <w:r w:rsidR="001C32A4">
      <w:rPr>
        <w:noProof/>
      </w:rPr>
      <w:t>2</w:t>
    </w:r>
    <w:r w:rsidR="007D76A3">
      <w:rPr>
        <w:noProof/>
      </w:rPr>
      <w:fldChar w:fldCharType="end"/>
    </w:r>
  </w:p>
  <w:p w14:paraId="7335D737" w14:textId="77777777" w:rsidR="00550403" w:rsidRDefault="005504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732930" w14:textId="77777777" w:rsidR="00935F30" w:rsidRDefault="00935F30" w:rsidP="0070498B">
      <w:r>
        <w:separator/>
      </w:r>
    </w:p>
  </w:footnote>
  <w:footnote w:type="continuationSeparator" w:id="0">
    <w:p w14:paraId="40358892" w14:textId="77777777" w:rsidR="00935F30" w:rsidRDefault="00935F30" w:rsidP="007049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D4804C" w14:textId="77777777" w:rsidR="00550403" w:rsidRDefault="001C32A4">
    <w:pPr>
      <w:pStyle w:val="Header"/>
    </w:pPr>
    <w:r>
      <w:rPr>
        <w:noProof/>
        <w:lang w:eastAsia="en-GB"/>
      </w:rPr>
      <w:pict w14:anchorId="572D66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685129" o:spid="_x0000_s2050" type="#_x0000_t75" style="position:absolute;margin-left:0;margin-top:0;width:595.45pt;height:842.05pt;z-index:-251658240;mso-position-horizontal:center;mso-position-horizontal-relative:margin;mso-position-vertical:center;mso-position-vertical-relative:margin" o:allowincell="f">
          <v:imagedata r:id="rId1" o:title="MIS14-268-GD Candidate Information Pack_INSERTS_Page_10"/>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9ECD3D" w14:textId="77777777" w:rsidR="00550403" w:rsidRDefault="001C32A4">
    <w:pPr>
      <w:pStyle w:val="Header"/>
    </w:pPr>
    <w:r>
      <w:rPr>
        <w:noProof/>
        <w:lang w:eastAsia="en-GB"/>
      </w:rPr>
      <w:pict w14:anchorId="03D2C8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685128" o:spid="_x0000_s2049" type="#_x0000_t75" style="position:absolute;margin-left:0;margin-top:0;width:595.45pt;height:842.05pt;z-index:-251659264;mso-position-horizontal:center;mso-position-horizontal-relative:margin;mso-position-vertical:center;mso-position-vertical-relative:margin" o:allowincell="f">
          <v:imagedata r:id="rId1" o:title="MIS14-268-GD Candidate Information Pack_INSERTS_Page_10"/>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11CE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12B3F0A"/>
    <w:multiLevelType w:val="hybridMultilevel"/>
    <w:tmpl w:val="5C5E117C"/>
    <w:lvl w:ilvl="0" w:tplc="08090003">
      <w:start w:val="1"/>
      <w:numFmt w:val="bullet"/>
      <w:lvlText w:val="o"/>
      <w:lvlJc w:val="left"/>
      <w:pPr>
        <w:tabs>
          <w:tab w:val="num" w:pos="360"/>
        </w:tabs>
        <w:ind w:left="360" w:hanging="360"/>
      </w:pPr>
      <w:rPr>
        <w:rFonts w:ascii="Courier New" w:hAnsi="Courier New" w:cs="Courier New" w:hint="default"/>
      </w:rPr>
    </w:lvl>
    <w:lvl w:ilvl="1" w:tplc="0809000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9048F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C202D96"/>
    <w:multiLevelType w:val="hybridMultilevel"/>
    <w:tmpl w:val="88FCA7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5BE7B9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873555F"/>
    <w:multiLevelType w:val="hybridMultilevel"/>
    <w:tmpl w:val="B6043D8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8D92AA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BA03C3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00368C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408354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49E2D85"/>
    <w:multiLevelType w:val="hybridMultilevel"/>
    <w:tmpl w:val="2CAAC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CD1CF3"/>
    <w:multiLevelType w:val="singleLevel"/>
    <w:tmpl w:val="A49EB3E0"/>
    <w:lvl w:ilvl="0">
      <w:start w:val="2"/>
      <w:numFmt w:val="decimal"/>
      <w:lvlText w:val="%1."/>
      <w:lvlJc w:val="left"/>
      <w:pPr>
        <w:tabs>
          <w:tab w:val="num" w:pos="1440"/>
        </w:tabs>
        <w:ind w:left="1440" w:hanging="1440"/>
      </w:pPr>
      <w:rPr>
        <w:rFonts w:hint="default"/>
      </w:rPr>
    </w:lvl>
  </w:abstractNum>
  <w:abstractNum w:abstractNumId="12" w15:restartNumberingAfterBreak="0">
    <w:nsid w:val="4FBF29B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50325A7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09401C8"/>
    <w:multiLevelType w:val="hybridMultilevel"/>
    <w:tmpl w:val="C506EEA8"/>
    <w:lvl w:ilvl="0" w:tplc="FFFFFFFF">
      <w:start w:val="1"/>
      <w:numFmt w:val="bullet"/>
      <w:lvlText w:val=""/>
      <w:lvlJc w:val="left"/>
      <w:pPr>
        <w:tabs>
          <w:tab w:val="num" w:pos="-720"/>
        </w:tabs>
        <w:ind w:left="283" w:hanging="283"/>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5FF648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96246A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9B70EB6"/>
    <w:multiLevelType w:val="hybridMultilevel"/>
    <w:tmpl w:val="FDA8A2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D3873B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16C3E7F"/>
    <w:multiLevelType w:val="hybridMultilevel"/>
    <w:tmpl w:val="B0E6D89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684B505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6AB6188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6CC8006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70B517D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71116F5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73D90D2F"/>
    <w:multiLevelType w:val="singleLevel"/>
    <w:tmpl w:val="08090001"/>
    <w:lvl w:ilvl="0">
      <w:start w:val="1"/>
      <w:numFmt w:val="bullet"/>
      <w:lvlText w:val=""/>
      <w:lvlJc w:val="left"/>
      <w:pPr>
        <w:ind w:left="720" w:hanging="360"/>
      </w:pPr>
      <w:rPr>
        <w:rFonts w:ascii="Symbol" w:hAnsi="Symbol" w:hint="default"/>
      </w:rPr>
    </w:lvl>
  </w:abstractNum>
  <w:abstractNum w:abstractNumId="26" w15:restartNumberingAfterBreak="0">
    <w:nsid w:val="773B605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78D671E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7CC7363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7CC8675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DD63BFD"/>
    <w:multiLevelType w:val="hybridMultilevel"/>
    <w:tmpl w:val="26282BEE"/>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1" w15:restartNumberingAfterBreak="0">
    <w:nsid w:val="7FDE36B5"/>
    <w:multiLevelType w:val="singleLevel"/>
    <w:tmpl w:val="08090001"/>
    <w:lvl w:ilvl="0">
      <w:start w:val="1"/>
      <w:numFmt w:val="bullet"/>
      <w:lvlText w:val=""/>
      <w:lvlJc w:val="left"/>
      <w:pPr>
        <w:ind w:left="720" w:hanging="360"/>
      </w:pPr>
      <w:rPr>
        <w:rFonts w:ascii="Symbol" w:hAnsi="Symbol" w:hint="default"/>
      </w:rPr>
    </w:lvl>
  </w:abstractNum>
  <w:num w:numId="1">
    <w:abstractNumId w:val="10"/>
  </w:num>
  <w:num w:numId="2">
    <w:abstractNumId w:val="25"/>
  </w:num>
  <w:num w:numId="3">
    <w:abstractNumId w:val="13"/>
  </w:num>
  <w:num w:numId="4">
    <w:abstractNumId w:val="22"/>
  </w:num>
  <w:num w:numId="5">
    <w:abstractNumId w:val="2"/>
  </w:num>
  <w:num w:numId="6">
    <w:abstractNumId w:val="4"/>
  </w:num>
  <w:num w:numId="7">
    <w:abstractNumId w:val="29"/>
  </w:num>
  <w:num w:numId="8">
    <w:abstractNumId w:val="6"/>
  </w:num>
  <w:num w:numId="9">
    <w:abstractNumId w:val="31"/>
  </w:num>
  <w:num w:numId="10">
    <w:abstractNumId w:val="0"/>
  </w:num>
  <w:num w:numId="11">
    <w:abstractNumId w:val="20"/>
  </w:num>
  <w:num w:numId="12">
    <w:abstractNumId w:val="23"/>
  </w:num>
  <w:num w:numId="13">
    <w:abstractNumId w:val="12"/>
  </w:num>
  <w:num w:numId="14">
    <w:abstractNumId w:val="9"/>
  </w:num>
  <w:num w:numId="15">
    <w:abstractNumId w:val="27"/>
  </w:num>
  <w:num w:numId="16">
    <w:abstractNumId w:val="8"/>
  </w:num>
  <w:num w:numId="17">
    <w:abstractNumId w:val="21"/>
  </w:num>
  <w:num w:numId="18">
    <w:abstractNumId w:val="17"/>
  </w:num>
  <w:num w:numId="19">
    <w:abstractNumId w:val="24"/>
  </w:num>
  <w:num w:numId="20">
    <w:abstractNumId w:val="7"/>
  </w:num>
  <w:num w:numId="21">
    <w:abstractNumId w:val="15"/>
  </w:num>
  <w:num w:numId="22">
    <w:abstractNumId w:val="28"/>
  </w:num>
  <w:num w:numId="23">
    <w:abstractNumId w:val="11"/>
  </w:num>
  <w:num w:numId="24">
    <w:abstractNumId w:val="16"/>
  </w:num>
  <w:num w:numId="25">
    <w:abstractNumId w:val="18"/>
  </w:num>
  <w:num w:numId="26">
    <w:abstractNumId w:val="26"/>
  </w:num>
  <w:num w:numId="27">
    <w:abstractNumId w:val="14"/>
  </w:num>
  <w:num w:numId="28">
    <w:abstractNumId w:val="1"/>
  </w:num>
  <w:num w:numId="29">
    <w:abstractNumId w:val="3"/>
  </w:num>
  <w:num w:numId="30">
    <w:abstractNumId w:val="5"/>
  </w:num>
  <w:num w:numId="31">
    <w:abstractNumId w:val="30"/>
  </w:num>
  <w:num w:numId="32">
    <w:abstractNumId w:val="19"/>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98B"/>
    <w:rsid w:val="00003D12"/>
    <w:rsid w:val="000212ED"/>
    <w:rsid w:val="00021878"/>
    <w:rsid w:val="000250B6"/>
    <w:rsid w:val="0003261D"/>
    <w:rsid w:val="00037E50"/>
    <w:rsid w:val="00061DFB"/>
    <w:rsid w:val="000742B2"/>
    <w:rsid w:val="000915F3"/>
    <w:rsid w:val="00097EFD"/>
    <w:rsid w:val="000B63B1"/>
    <w:rsid w:val="000D5AAF"/>
    <w:rsid w:val="000E2618"/>
    <w:rsid w:val="000E4F6D"/>
    <w:rsid w:val="000F4AF7"/>
    <w:rsid w:val="001000FF"/>
    <w:rsid w:val="00114F3C"/>
    <w:rsid w:val="001252F3"/>
    <w:rsid w:val="00126593"/>
    <w:rsid w:val="0013254F"/>
    <w:rsid w:val="00143DB1"/>
    <w:rsid w:val="00145E53"/>
    <w:rsid w:val="001571F0"/>
    <w:rsid w:val="00170100"/>
    <w:rsid w:val="00175CA5"/>
    <w:rsid w:val="0018031F"/>
    <w:rsid w:val="00181FFE"/>
    <w:rsid w:val="00185B36"/>
    <w:rsid w:val="001876A5"/>
    <w:rsid w:val="00193C10"/>
    <w:rsid w:val="001C32A4"/>
    <w:rsid w:val="001C5904"/>
    <w:rsid w:val="001E2D75"/>
    <w:rsid w:val="001F3695"/>
    <w:rsid w:val="00202F70"/>
    <w:rsid w:val="0021172E"/>
    <w:rsid w:val="002209C7"/>
    <w:rsid w:val="00265AD6"/>
    <w:rsid w:val="00266FDA"/>
    <w:rsid w:val="002759B6"/>
    <w:rsid w:val="00277C6E"/>
    <w:rsid w:val="002A17E7"/>
    <w:rsid w:val="002D1897"/>
    <w:rsid w:val="002D4315"/>
    <w:rsid w:val="002D4917"/>
    <w:rsid w:val="002E2B21"/>
    <w:rsid w:val="002E3946"/>
    <w:rsid w:val="002E7EF0"/>
    <w:rsid w:val="002F210A"/>
    <w:rsid w:val="00324CB3"/>
    <w:rsid w:val="00325F3C"/>
    <w:rsid w:val="00327A65"/>
    <w:rsid w:val="003354E3"/>
    <w:rsid w:val="00342E44"/>
    <w:rsid w:val="003667F6"/>
    <w:rsid w:val="003729F1"/>
    <w:rsid w:val="00393051"/>
    <w:rsid w:val="003967EB"/>
    <w:rsid w:val="003A683E"/>
    <w:rsid w:val="003B1EF4"/>
    <w:rsid w:val="003C08A2"/>
    <w:rsid w:val="003F18AD"/>
    <w:rsid w:val="003F432C"/>
    <w:rsid w:val="003F66AE"/>
    <w:rsid w:val="003F76AB"/>
    <w:rsid w:val="00400CA9"/>
    <w:rsid w:val="0040373A"/>
    <w:rsid w:val="004056EA"/>
    <w:rsid w:val="004071C7"/>
    <w:rsid w:val="00427E9E"/>
    <w:rsid w:val="00432F09"/>
    <w:rsid w:val="00436C22"/>
    <w:rsid w:val="004537F5"/>
    <w:rsid w:val="0045694A"/>
    <w:rsid w:val="00476D1C"/>
    <w:rsid w:val="00486CD5"/>
    <w:rsid w:val="004B5D4E"/>
    <w:rsid w:val="004C1E7D"/>
    <w:rsid w:val="004C2D3D"/>
    <w:rsid w:val="004C3FEB"/>
    <w:rsid w:val="004D5F24"/>
    <w:rsid w:val="004E10C8"/>
    <w:rsid w:val="004E2877"/>
    <w:rsid w:val="004F549A"/>
    <w:rsid w:val="00520533"/>
    <w:rsid w:val="0052300C"/>
    <w:rsid w:val="0053289F"/>
    <w:rsid w:val="005472AA"/>
    <w:rsid w:val="00550403"/>
    <w:rsid w:val="0055075E"/>
    <w:rsid w:val="00553434"/>
    <w:rsid w:val="005605D9"/>
    <w:rsid w:val="00564752"/>
    <w:rsid w:val="00576800"/>
    <w:rsid w:val="00596895"/>
    <w:rsid w:val="005C29B6"/>
    <w:rsid w:val="005D0040"/>
    <w:rsid w:val="005D19DD"/>
    <w:rsid w:val="005D3241"/>
    <w:rsid w:val="005E3CD5"/>
    <w:rsid w:val="005F1F8C"/>
    <w:rsid w:val="005F3BFF"/>
    <w:rsid w:val="00624BB1"/>
    <w:rsid w:val="0062748D"/>
    <w:rsid w:val="00654F01"/>
    <w:rsid w:val="006563AA"/>
    <w:rsid w:val="00671E10"/>
    <w:rsid w:val="00672340"/>
    <w:rsid w:val="006860F5"/>
    <w:rsid w:val="00694B33"/>
    <w:rsid w:val="00697D52"/>
    <w:rsid w:val="00697E0C"/>
    <w:rsid w:val="006B6B74"/>
    <w:rsid w:val="006D3BF2"/>
    <w:rsid w:val="006E0703"/>
    <w:rsid w:val="0070498B"/>
    <w:rsid w:val="007262BA"/>
    <w:rsid w:val="00734173"/>
    <w:rsid w:val="007423CB"/>
    <w:rsid w:val="00754A24"/>
    <w:rsid w:val="007757E5"/>
    <w:rsid w:val="007A186F"/>
    <w:rsid w:val="007A2613"/>
    <w:rsid w:val="007B2257"/>
    <w:rsid w:val="007B2885"/>
    <w:rsid w:val="007B2EB4"/>
    <w:rsid w:val="007B5F0D"/>
    <w:rsid w:val="007D0D90"/>
    <w:rsid w:val="007D76A3"/>
    <w:rsid w:val="007E2AE9"/>
    <w:rsid w:val="007E6D7B"/>
    <w:rsid w:val="007F2562"/>
    <w:rsid w:val="007F3454"/>
    <w:rsid w:val="0080052C"/>
    <w:rsid w:val="00802340"/>
    <w:rsid w:val="00802653"/>
    <w:rsid w:val="00807547"/>
    <w:rsid w:val="00833814"/>
    <w:rsid w:val="00837669"/>
    <w:rsid w:val="008378AB"/>
    <w:rsid w:val="00863360"/>
    <w:rsid w:val="00863DF8"/>
    <w:rsid w:val="00884BB7"/>
    <w:rsid w:val="00890453"/>
    <w:rsid w:val="0089363A"/>
    <w:rsid w:val="008A1C12"/>
    <w:rsid w:val="008A2584"/>
    <w:rsid w:val="008A3286"/>
    <w:rsid w:val="008B15A4"/>
    <w:rsid w:val="008B79ED"/>
    <w:rsid w:val="008F377D"/>
    <w:rsid w:val="009006AB"/>
    <w:rsid w:val="00900E3A"/>
    <w:rsid w:val="00903416"/>
    <w:rsid w:val="00911056"/>
    <w:rsid w:val="009118A1"/>
    <w:rsid w:val="009336F0"/>
    <w:rsid w:val="00935F30"/>
    <w:rsid w:val="00946E2A"/>
    <w:rsid w:val="009563F7"/>
    <w:rsid w:val="0096776B"/>
    <w:rsid w:val="00970887"/>
    <w:rsid w:val="00993EB4"/>
    <w:rsid w:val="009C740F"/>
    <w:rsid w:val="009F7258"/>
    <w:rsid w:val="00A1314A"/>
    <w:rsid w:val="00A142E0"/>
    <w:rsid w:val="00A1628E"/>
    <w:rsid w:val="00A45915"/>
    <w:rsid w:val="00A569AC"/>
    <w:rsid w:val="00A64E40"/>
    <w:rsid w:val="00A7398D"/>
    <w:rsid w:val="00A803F6"/>
    <w:rsid w:val="00A912A9"/>
    <w:rsid w:val="00A91962"/>
    <w:rsid w:val="00A95C48"/>
    <w:rsid w:val="00AA1DFA"/>
    <w:rsid w:val="00AA7827"/>
    <w:rsid w:val="00AE7EDD"/>
    <w:rsid w:val="00B00D23"/>
    <w:rsid w:val="00B01915"/>
    <w:rsid w:val="00B61CC4"/>
    <w:rsid w:val="00B86577"/>
    <w:rsid w:val="00B927F1"/>
    <w:rsid w:val="00BF7E9C"/>
    <w:rsid w:val="00C36AA6"/>
    <w:rsid w:val="00C579E3"/>
    <w:rsid w:val="00C7700F"/>
    <w:rsid w:val="00C77D7B"/>
    <w:rsid w:val="00C81DDD"/>
    <w:rsid w:val="00CA32D9"/>
    <w:rsid w:val="00CB0369"/>
    <w:rsid w:val="00CB4D98"/>
    <w:rsid w:val="00CB66A9"/>
    <w:rsid w:val="00CE7ACD"/>
    <w:rsid w:val="00CE7D01"/>
    <w:rsid w:val="00CE7F73"/>
    <w:rsid w:val="00CF31D6"/>
    <w:rsid w:val="00CF68E1"/>
    <w:rsid w:val="00D06A46"/>
    <w:rsid w:val="00D24423"/>
    <w:rsid w:val="00D4791C"/>
    <w:rsid w:val="00D510E9"/>
    <w:rsid w:val="00DA435E"/>
    <w:rsid w:val="00DA58DC"/>
    <w:rsid w:val="00DD5957"/>
    <w:rsid w:val="00DE3EAD"/>
    <w:rsid w:val="00DF5B55"/>
    <w:rsid w:val="00E17125"/>
    <w:rsid w:val="00E46D18"/>
    <w:rsid w:val="00E47E93"/>
    <w:rsid w:val="00E63DCE"/>
    <w:rsid w:val="00E64355"/>
    <w:rsid w:val="00E87F39"/>
    <w:rsid w:val="00E92172"/>
    <w:rsid w:val="00E922D5"/>
    <w:rsid w:val="00E9392F"/>
    <w:rsid w:val="00EA289E"/>
    <w:rsid w:val="00EA3161"/>
    <w:rsid w:val="00EA4B66"/>
    <w:rsid w:val="00EA5E50"/>
    <w:rsid w:val="00EC3511"/>
    <w:rsid w:val="00EE28E8"/>
    <w:rsid w:val="00EE7303"/>
    <w:rsid w:val="00F23A18"/>
    <w:rsid w:val="00F27CC2"/>
    <w:rsid w:val="00F30DAF"/>
    <w:rsid w:val="00F34AD9"/>
    <w:rsid w:val="00F37580"/>
    <w:rsid w:val="00F43B53"/>
    <w:rsid w:val="00F45FCD"/>
    <w:rsid w:val="00F64DCD"/>
    <w:rsid w:val="00F75694"/>
    <w:rsid w:val="00F80FD7"/>
    <w:rsid w:val="00F906F9"/>
    <w:rsid w:val="00F92F02"/>
    <w:rsid w:val="00F97251"/>
    <w:rsid w:val="00FB11BE"/>
    <w:rsid w:val="00FB737B"/>
    <w:rsid w:val="00FD1872"/>
    <w:rsid w:val="00FE002C"/>
    <w:rsid w:val="00FE1BBF"/>
    <w:rsid w:val="00FE2B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B22CE9F"/>
  <w15:docId w15:val="{E07CA92B-8C8D-41F0-BCBB-BEFCD8945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Arial"/>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4355"/>
    <w:rPr>
      <w:sz w:val="24"/>
      <w:szCs w:val="24"/>
      <w:lang w:eastAsia="en-US"/>
    </w:rPr>
  </w:style>
  <w:style w:type="paragraph" w:styleId="Heading1">
    <w:name w:val="heading 1"/>
    <w:basedOn w:val="Normal"/>
    <w:next w:val="Normal"/>
    <w:link w:val="Heading1Char"/>
    <w:uiPriority w:val="9"/>
    <w:qFormat/>
    <w:rsid w:val="00550403"/>
    <w:pPr>
      <w:keepNext/>
      <w:keepLines/>
      <w:spacing w:before="480"/>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iPriority w:val="9"/>
    <w:unhideWhenUsed/>
    <w:qFormat/>
    <w:rsid w:val="00550403"/>
    <w:pPr>
      <w:keepNext/>
      <w:keepLines/>
      <w:spacing w:before="200"/>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uiPriority w:val="9"/>
    <w:unhideWhenUsed/>
    <w:qFormat/>
    <w:rsid w:val="00550403"/>
    <w:pPr>
      <w:keepNext/>
      <w:keepLines/>
      <w:spacing w:before="200"/>
      <w:outlineLvl w:val="2"/>
    </w:pPr>
    <w:rPr>
      <w:rFonts w:ascii="Cambria" w:eastAsia="Times New Roman" w:hAnsi="Cambria" w:cs="Times New Roman"/>
      <w:b/>
      <w:bCs/>
      <w:color w:val="4F81BD"/>
    </w:rPr>
  </w:style>
  <w:style w:type="paragraph" w:styleId="Heading4">
    <w:name w:val="heading 4"/>
    <w:basedOn w:val="Normal"/>
    <w:next w:val="Normal"/>
    <w:link w:val="Heading4Char"/>
    <w:uiPriority w:val="9"/>
    <w:unhideWhenUsed/>
    <w:qFormat/>
    <w:rsid w:val="00175CA5"/>
    <w:pPr>
      <w:keepNext/>
      <w:spacing w:before="240" w:after="60"/>
      <w:outlineLvl w:val="3"/>
    </w:pPr>
    <w:rPr>
      <w:rFonts w:asciiTheme="minorHAnsi" w:eastAsiaTheme="minorEastAsia" w:hAnsiTheme="minorHAnsi" w:cstheme="minorBidi"/>
      <w:b/>
      <w:bCs/>
      <w:sz w:val="28"/>
      <w:szCs w:val="28"/>
    </w:rPr>
  </w:style>
  <w:style w:type="paragraph" w:styleId="Heading6">
    <w:name w:val="heading 6"/>
    <w:basedOn w:val="Normal"/>
    <w:next w:val="Normal"/>
    <w:link w:val="Heading6Char"/>
    <w:uiPriority w:val="9"/>
    <w:semiHidden/>
    <w:unhideWhenUsed/>
    <w:qFormat/>
    <w:rsid w:val="00175CA5"/>
    <w:pPr>
      <w:spacing w:before="240" w:after="60"/>
      <w:outlineLvl w:val="5"/>
    </w:pPr>
    <w:rPr>
      <w:rFonts w:asciiTheme="minorHAnsi" w:eastAsiaTheme="minorEastAsia" w:hAnsiTheme="minorHAnsi" w:cstheme="minorBidi"/>
      <w:b/>
      <w:bCs/>
      <w:sz w:val="22"/>
      <w:szCs w:val="22"/>
    </w:rPr>
  </w:style>
  <w:style w:type="paragraph" w:styleId="Heading7">
    <w:name w:val="heading 7"/>
    <w:basedOn w:val="Normal"/>
    <w:next w:val="Normal"/>
    <w:link w:val="Heading7Char"/>
    <w:uiPriority w:val="9"/>
    <w:unhideWhenUsed/>
    <w:qFormat/>
    <w:rsid w:val="00550403"/>
    <w:pPr>
      <w:keepNext/>
      <w:keepLines/>
      <w:spacing w:before="200"/>
      <w:outlineLvl w:val="6"/>
    </w:pPr>
    <w:rPr>
      <w:rFonts w:ascii="Cambria" w:eastAsia="Times New Roman" w:hAnsi="Cambria" w:cs="Times New Roman"/>
      <w:i/>
      <w:iCs/>
      <w:color w:val="404040"/>
    </w:rPr>
  </w:style>
  <w:style w:type="paragraph" w:styleId="Heading8">
    <w:name w:val="heading 8"/>
    <w:basedOn w:val="Normal"/>
    <w:next w:val="Normal"/>
    <w:link w:val="Heading8Char"/>
    <w:uiPriority w:val="9"/>
    <w:semiHidden/>
    <w:unhideWhenUsed/>
    <w:qFormat/>
    <w:rsid w:val="00863360"/>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0498B"/>
    <w:pPr>
      <w:tabs>
        <w:tab w:val="center" w:pos="4513"/>
        <w:tab w:val="right" w:pos="9026"/>
      </w:tabs>
    </w:pPr>
  </w:style>
  <w:style w:type="character" w:customStyle="1" w:styleId="HeaderChar">
    <w:name w:val="Header Char"/>
    <w:basedOn w:val="DefaultParagraphFont"/>
    <w:link w:val="Header"/>
    <w:rsid w:val="0070498B"/>
  </w:style>
  <w:style w:type="paragraph" w:styleId="Footer">
    <w:name w:val="footer"/>
    <w:basedOn w:val="Normal"/>
    <w:link w:val="FooterChar"/>
    <w:unhideWhenUsed/>
    <w:rsid w:val="0070498B"/>
    <w:pPr>
      <w:tabs>
        <w:tab w:val="center" w:pos="4513"/>
        <w:tab w:val="right" w:pos="9026"/>
      </w:tabs>
    </w:pPr>
  </w:style>
  <w:style w:type="character" w:customStyle="1" w:styleId="FooterChar">
    <w:name w:val="Footer Char"/>
    <w:basedOn w:val="DefaultParagraphFont"/>
    <w:link w:val="Footer"/>
    <w:uiPriority w:val="99"/>
    <w:rsid w:val="0070498B"/>
  </w:style>
  <w:style w:type="character" w:customStyle="1" w:styleId="Heading1Char">
    <w:name w:val="Heading 1 Char"/>
    <w:basedOn w:val="DefaultParagraphFont"/>
    <w:link w:val="Heading1"/>
    <w:rsid w:val="00550403"/>
    <w:rPr>
      <w:rFonts w:ascii="Cambria" w:eastAsia="Times New Roman" w:hAnsi="Cambria" w:cs="Times New Roman"/>
      <w:b/>
      <w:bCs/>
      <w:color w:val="365F91"/>
      <w:sz w:val="28"/>
      <w:szCs w:val="28"/>
      <w:lang w:eastAsia="en-US"/>
    </w:rPr>
  </w:style>
  <w:style w:type="character" w:customStyle="1" w:styleId="Heading7Char">
    <w:name w:val="Heading 7 Char"/>
    <w:basedOn w:val="DefaultParagraphFont"/>
    <w:link w:val="Heading7"/>
    <w:uiPriority w:val="9"/>
    <w:rsid w:val="00550403"/>
    <w:rPr>
      <w:rFonts w:ascii="Cambria" w:eastAsia="Times New Roman" w:hAnsi="Cambria" w:cs="Times New Roman"/>
      <w:i/>
      <w:iCs/>
      <w:color w:val="404040"/>
      <w:sz w:val="24"/>
      <w:szCs w:val="24"/>
      <w:lang w:eastAsia="en-US"/>
    </w:rPr>
  </w:style>
  <w:style w:type="paragraph" w:styleId="BodyText">
    <w:name w:val="Body Text"/>
    <w:basedOn w:val="Normal"/>
    <w:link w:val="BodyTextChar"/>
    <w:uiPriority w:val="99"/>
    <w:semiHidden/>
    <w:unhideWhenUsed/>
    <w:rsid w:val="00550403"/>
    <w:pPr>
      <w:spacing w:after="120"/>
    </w:pPr>
  </w:style>
  <w:style w:type="character" w:customStyle="1" w:styleId="BodyTextChar">
    <w:name w:val="Body Text Char"/>
    <w:basedOn w:val="DefaultParagraphFont"/>
    <w:link w:val="BodyText"/>
    <w:uiPriority w:val="99"/>
    <w:semiHidden/>
    <w:rsid w:val="00550403"/>
    <w:rPr>
      <w:rFonts w:eastAsia="Calibri"/>
      <w:sz w:val="24"/>
      <w:szCs w:val="24"/>
      <w:lang w:eastAsia="en-US"/>
    </w:rPr>
  </w:style>
  <w:style w:type="paragraph" w:styleId="ListParagraph">
    <w:name w:val="List Paragraph"/>
    <w:basedOn w:val="Normal"/>
    <w:uiPriority w:val="34"/>
    <w:qFormat/>
    <w:rsid w:val="00550403"/>
    <w:pPr>
      <w:ind w:left="720"/>
    </w:pPr>
    <w:rPr>
      <w:rFonts w:eastAsia="Times New Roman" w:cs="Times New Roman"/>
      <w:szCs w:val="20"/>
      <w:lang w:eastAsia="en-GB"/>
    </w:rPr>
  </w:style>
  <w:style w:type="paragraph" w:styleId="BodyTextIndent">
    <w:name w:val="Body Text Indent"/>
    <w:basedOn w:val="Normal"/>
    <w:link w:val="BodyTextIndentChar"/>
    <w:uiPriority w:val="99"/>
    <w:unhideWhenUsed/>
    <w:rsid w:val="00550403"/>
    <w:pPr>
      <w:spacing w:after="120"/>
      <w:ind w:left="283"/>
    </w:pPr>
  </w:style>
  <w:style w:type="character" w:customStyle="1" w:styleId="BodyTextIndentChar">
    <w:name w:val="Body Text Indent Char"/>
    <w:basedOn w:val="DefaultParagraphFont"/>
    <w:link w:val="BodyTextIndent"/>
    <w:uiPriority w:val="99"/>
    <w:rsid w:val="00550403"/>
    <w:rPr>
      <w:sz w:val="24"/>
      <w:szCs w:val="24"/>
      <w:lang w:eastAsia="en-US"/>
    </w:rPr>
  </w:style>
  <w:style w:type="character" w:customStyle="1" w:styleId="Heading2Char">
    <w:name w:val="Heading 2 Char"/>
    <w:basedOn w:val="DefaultParagraphFont"/>
    <w:link w:val="Heading2"/>
    <w:uiPriority w:val="9"/>
    <w:rsid w:val="00550403"/>
    <w:rPr>
      <w:rFonts w:ascii="Cambria" w:eastAsia="Times New Roman" w:hAnsi="Cambria" w:cs="Times New Roman"/>
      <w:b/>
      <w:bCs/>
      <w:color w:val="4F81BD"/>
      <w:sz w:val="26"/>
      <w:szCs w:val="26"/>
      <w:lang w:eastAsia="en-US"/>
    </w:rPr>
  </w:style>
  <w:style w:type="character" w:customStyle="1" w:styleId="Heading3Char">
    <w:name w:val="Heading 3 Char"/>
    <w:basedOn w:val="DefaultParagraphFont"/>
    <w:link w:val="Heading3"/>
    <w:uiPriority w:val="9"/>
    <w:rsid w:val="00550403"/>
    <w:rPr>
      <w:rFonts w:ascii="Cambria" w:eastAsia="Times New Roman" w:hAnsi="Cambria" w:cs="Times New Roman"/>
      <w:b/>
      <w:bCs/>
      <w:color w:val="4F81BD"/>
      <w:sz w:val="24"/>
      <w:szCs w:val="24"/>
      <w:lang w:eastAsia="en-US"/>
    </w:rPr>
  </w:style>
  <w:style w:type="paragraph" w:styleId="BodyTextIndent2">
    <w:name w:val="Body Text Indent 2"/>
    <w:basedOn w:val="Normal"/>
    <w:link w:val="BodyTextIndent2Char"/>
    <w:uiPriority w:val="99"/>
    <w:semiHidden/>
    <w:unhideWhenUsed/>
    <w:rsid w:val="00550403"/>
    <w:pPr>
      <w:spacing w:after="120" w:line="480" w:lineRule="auto"/>
      <w:ind w:left="283"/>
    </w:pPr>
  </w:style>
  <w:style w:type="character" w:customStyle="1" w:styleId="BodyTextIndent2Char">
    <w:name w:val="Body Text Indent 2 Char"/>
    <w:basedOn w:val="DefaultParagraphFont"/>
    <w:link w:val="BodyTextIndent2"/>
    <w:uiPriority w:val="99"/>
    <w:semiHidden/>
    <w:rsid w:val="00550403"/>
    <w:rPr>
      <w:rFonts w:eastAsia="Calibri"/>
      <w:sz w:val="24"/>
      <w:szCs w:val="24"/>
      <w:lang w:eastAsia="en-US"/>
    </w:rPr>
  </w:style>
  <w:style w:type="character" w:customStyle="1" w:styleId="Heading4Char">
    <w:name w:val="Heading 4 Char"/>
    <w:basedOn w:val="DefaultParagraphFont"/>
    <w:link w:val="Heading4"/>
    <w:uiPriority w:val="9"/>
    <w:rsid w:val="00175CA5"/>
    <w:rPr>
      <w:rFonts w:asciiTheme="minorHAnsi" w:eastAsiaTheme="minorEastAsia" w:hAnsiTheme="minorHAnsi" w:cstheme="minorBidi"/>
      <w:b/>
      <w:bCs/>
      <w:sz w:val="28"/>
      <w:szCs w:val="28"/>
      <w:lang w:eastAsia="en-US"/>
    </w:rPr>
  </w:style>
  <w:style w:type="character" w:customStyle="1" w:styleId="Heading6Char">
    <w:name w:val="Heading 6 Char"/>
    <w:basedOn w:val="DefaultParagraphFont"/>
    <w:link w:val="Heading6"/>
    <w:uiPriority w:val="9"/>
    <w:semiHidden/>
    <w:rsid w:val="00175CA5"/>
    <w:rPr>
      <w:rFonts w:asciiTheme="minorHAnsi" w:eastAsiaTheme="minorEastAsia" w:hAnsiTheme="minorHAnsi" w:cstheme="minorBidi"/>
      <w:b/>
      <w:bCs/>
      <w:sz w:val="22"/>
      <w:szCs w:val="22"/>
      <w:lang w:eastAsia="en-US"/>
    </w:rPr>
  </w:style>
  <w:style w:type="paragraph" w:styleId="BodyText2">
    <w:name w:val="Body Text 2"/>
    <w:basedOn w:val="Normal"/>
    <w:link w:val="BodyText2Char"/>
    <w:uiPriority w:val="99"/>
    <w:unhideWhenUsed/>
    <w:rsid w:val="00175CA5"/>
    <w:pPr>
      <w:spacing w:after="120" w:line="480" w:lineRule="auto"/>
    </w:pPr>
  </w:style>
  <w:style w:type="character" w:customStyle="1" w:styleId="BodyText2Char">
    <w:name w:val="Body Text 2 Char"/>
    <w:basedOn w:val="DefaultParagraphFont"/>
    <w:link w:val="BodyText2"/>
    <w:uiPriority w:val="99"/>
    <w:rsid w:val="00175CA5"/>
    <w:rPr>
      <w:sz w:val="24"/>
      <w:szCs w:val="24"/>
      <w:lang w:eastAsia="en-US"/>
    </w:rPr>
  </w:style>
  <w:style w:type="paragraph" w:styleId="BodyText3">
    <w:name w:val="Body Text 3"/>
    <w:basedOn w:val="Normal"/>
    <w:link w:val="BodyText3Char"/>
    <w:uiPriority w:val="99"/>
    <w:semiHidden/>
    <w:unhideWhenUsed/>
    <w:rsid w:val="00175CA5"/>
    <w:pPr>
      <w:spacing w:after="120"/>
    </w:pPr>
    <w:rPr>
      <w:sz w:val="16"/>
      <w:szCs w:val="16"/>
    </w:rPr>
  </w:style>
  <w:style w:type="character" w:customStyle="1" w:styleId="BodyText3Char">
    <w:name w:val="Body Text 3 Char"/>
    <w:basedOn w:val="DefaultParagraphFont"/>
    <w:link w:val="BodyText3"/>
    <w:uiPriority w:val="99"/>
    <w:semiHidden/>
    <w:rsid w:val="00175CA5"/>
    <w:rPr>
      <w:sz w:val="16"/>
      <w:szCs w:val="16"/>
      <w:lang w:eastAsia="en-US"/>
    </w:rPr>
  </w:style>
  <w:style w:type="paragraph" w:styleId="BalloonText">
    <w:name w:val="Balloon Text"/>
    <w:basedOn w:val="Normal"/>
    <w:link w:val="BalloonTextChar"/>
    <w:uiPriority w:val="99"/>
    <w:semiHidden/>
    <w:unhideWhenUsed/>
    <w:rsid w:val="00863360"/>
    <w:rPr>
      <w:rFonts w:ascii="Tahoma" w:hAnsi="Tahoma" w:cs="Tahoma"/>
      <w:sz w:val="16"/>
      <w:szCs w:val="16"/>
    </w:rPr>
  </w:style>
  <w:style w:type="character" w:customStyle="1" w:styleId="BalloonTextChar">
    <w:name w:val="Balloon Text Char"/>
    <w:basedOn w:val="DefaultParagraphFont"/>
    <w:link w:val="BalloonText"/>
    <w:uiPriority w:val="99"/>
    <w:semiHidden/>
    <w:rsid w:val="00863360"/>
    <w:rPr>
      <w:rFonts w:ascii="Tahoma" w:hAnsi="Tahoma" w:cs="Tahoma"/>
      <w:sz w:val="16"/>
      <w:szCs w:val="16"/>
      <w:lang w:eastAsia="en-US"/>
    </w:rPr>
  </w:style>
  <w:style w:type="character" w:customStyle="1" w:styleId="Heading8Char">
    <w:name w:val="Heading 8 Char"/>
    <w:basedOn w:val="DefaultParagraphFont"/>
    <w:link w:val="Heading8"/>
    <w:uiPriority w:val="9"/>
    <w:semiHidden/>
    <w:rsid w:val="00863360"/>
    <w:rPr>
      <w:rFonts w:asciiTheme="majorHAnsi" w:eastAsiaTheme="majorEastAsia" w:hAnsiTheme="majorHAnsi" w:cstheme="majorBidi"/>
      <w:color w:val="404040" w:themeColor="text1" w:themeTint="BF"/>
      <w:lang w:eastAsia="en-US"/>
    </w:rPr>
  </w:style>
  <w:style w:type="paragraph" w:styleId="NoSpacing">
    <w:name w:val="No Spacing"/>
    <w:uiPriority w:val="1"/>
    <w:qFormat/>
    <w:rsid w:val="005E3CD5"/>
    <w:rPr>
      <w:sz w:val="24"/>
      <w:szCs w:val="24"/>
      <w:lang w:eastAsia="en-US"/>
    </w:rPr>
  </w:style>
  <w:style w:type="character" w:styleId="PageNumber">
    <w:name w:val="page number"/>
    <w:basedOn w:val="DefaultParagraphFont"/>
    <w:rsid w:val="00003D12"/>
  </w:style>
  <w:style w:type="table" w:styleId="TableGrid">
    <w:name w:val="Table Grid"/>
    <w:basedOn w:val="TableNormal"/>
    <w:rsid w:val="00003D12"/>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A569A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69AC"/>
    <w:rPr>
      <w:rFonts w:asciiTheme="majorHAnsi" w:eastAsiaTheme="majorEastAsia" w:hAnsiTheme="majorHAnsi" w:cstheme="majorBidi"/>
      <w:spacing w:val="-10"/>
      <w:kern w:val="28"/>
      <w:sz w:val="56"/>
      <w:szCs w:val="56"/>
      <w:lang w:eastAsia="en-US"/>
    </w:rPr>
  </w:style>
  <w:style w:type="paragraph" w:styleId="Subtitle">
    <w:name w:val="Subtitle"/>
    <w:basedOn w:val="Normal"/>
    <w:next w:val="Normal"/>
    <w:link w:val="SubtitleChar"/>
    <w:uiPriority w:val="11"/>
    <w:qFormat/>
    <w:rsid w:val="00A569A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A569AC"/>
    <w:rPr>
      <w:rFonts w:asciiTheme="minorHAnsi" w:eastAsiaTheme="minorEastAsia" w:hAnsiTheme="minorHAnsi" w:cstheme="minorBidi"/>
      <w:color w:val="5A5A5A" w:themeColor="text1" w:themeTint="A5"/>
      <w:spacing w:val="15"/>
      <w:sz w:val="22"/>
      <w:szCs w:val="22"/>
      <w:lang w:eastAsia="en-US"/>
    </w:rPr>
  </w:style>
  <w:style w:type="character" w:styleId="CommentReference">
    <w:name w:val="annotation reference"/>
    <w:basedOn w:val="DefaultParagraphFont"/>
    <w:uiPriority w:val="99"/>
    <w:semiHidden/>
    <w:unhideWhenUsed/>
    <w:rsid w:val="00436C22"/>
    <w:rPr>
      <w:sz w:val="16"/>
      <w:szCs w:val="16"/>
    </w:rPr>
  </w:style>
  <w:style w:type="paragraph" w:styleId="CommentText">
    <w:name w:val="annotation text"/>
    <w:basedOn w:val="Normal"/>
    <w:link w:val="CommentTextChar"/>
    <w:uiPriority w:val="99"/>
    <w:semiHidden/>
    <w:unhideWhenUsed/>
    <w:rsid w:val="00436C22"/>
    <w:rPr>
      <w:sz w:val="20"/>
      <w:szCs w:val="20"/>
    </w:rPr>
  </w:style>
  <w:style w:type="character" w:customStyle="1" w:styleId="CommentTextChar">
    <w:name w:val="Comment Text Char"/>
    <w:basedOn w:val="DefaultParagraphFont"/>
    <w:link w:val="CommentText"/>
    <w:uiPriority w:val="99"/>
    <w:semiHidden/>
    <w:rsid w:val="00436C22"/>
    <w:rPr>
      <w:lang w:eastAsia="en-US"/>
    </w:rPr>
  </w:style>
  <w:style w:type="paragraph" w:styleId="CommentSubject">
    <w:name w:val="annotation subject"/>
    <w:basedOn w:val="CommentText"/>
    <w:next w:val="CommentText"/>
    <w:link w:val="CommentSubjectChar"/>
    <w:uiPriority w:val="99"/>
    <w:semiHidden/>
    <w:unhideWhenUsed/>
    <w:rsid w:val="00436C22"/>
    <w:rPr>
      <w:b/>
      <w:bCs/>
    </w:rPr>
  </w:style>
  <w:style w:type="character" w:customStyle="1" w:styleId="CommentSubjectChar">
    <w:name w:val="Comment Subject Char"/>
    <w:basedOn w:val="CommentTextChar"/>
    <w:link w:val="CommentSubject"/>
    <w:uiPriority w:val="99"/>
    <w:semiHidden/>
    <w:rsid w:val="00436C22"/>
    <w:rPr>
      <w:b/>
      <w:bCs/>
      <w:lang w:eastAsia="en-US"/>
    </w:rPr>
  </w:style>
  <w:style w:type="paragraph" w:styleId="Revision">
    <w:name w:val="Revision"/>
    <w:hidden/>
    <w:uiPriority w:val="99"/>
    <w:semiHidden/>
    <w:rsid w:val="002D4315"/>
    <w:rPr>
      <w:sz w:val="24"/>
      <w:szCs w:val="24"/>
      <w:lang w:eastAsia="en-US"/>
    </w:rPr>
  </w:style>
  <w:style w:type="character" w:styleId="Hyperlink">
    <w:name w:val="Hyperlink"/>
    <w:basedOn w:val="DefaultParagraphFont"/>
    <w:uiPriority w:val="99"/>
    <w:unhideWhenUsed/>
    <w:rsid w:val="006D3BF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6711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 /><Relationship Id="rId13" Type="http://schemas.openxmlformats.org/officeDocument/2006/relationships/image" Target="media/image6.png" /><Relationship Id="rId18" Type="http://schemas.openxmlformats.org/officeDocument/2006/relationships/header" Target="header1.xml" /><Relationship Id="rId3" Type="http://schemas.openxmlformats.org/officeDocument/2006/relationships/styles" Target="styles.xml" /><Relationship Id="rId21" Type="http://schemas.openxmlformats.org/officeDocument/2006/relationships/image" Target="media/image10.png" /><Relationship Id="rId7" Type="http://schemas.openxmlformats.org/officeDocument/2006/relationships/endnotes" Target="endnotes.xml" /><Relationship Id="rId12" Type="http://schemas.openxmlformats.org/officeDocument/2006/relationships/image" Target="media/image5.png" /><Relationship Id="rId17" Type="http://schemas.openxmlformats.org/officeDocument/2006/relationships/hyperlink" Target="#" TargetMode="External" /><Relationship Id="rId2" Type="http://schemas.openxmlformats.org/officeDocument/2006/relationships/numbering" Target="numbering.xml" /><Relationship Id="rId16" Type="http://schemas.openxmlformats.org/officeDocument/2006/relationships/hyperlink" Target="#" TargetMode="External" /><Relationship Id="rId20" Type="http://schemas.openxmlformats.org/officeDocument/2006/relationships/header" Target="header2.xml" /><Relationship Id="rId6" Type="http://schemas.openxmlformats.org/officeDocument/2006/relationships/footnotes" Target="footnotes.xml" /><Relationship Id="rId11" Type="http://schemas.openxmlformats.org/officeDocument/2006/relationships/image" Target="media/image4.png" /><Relationship Id="rId5" Type="http://schemas.openxmlformats.org/officeDocument/2006/relationships/webSettings" Target="webSettings.xml" /><Relationship Id="rId15" Type="http://schemas.openxmlformats.org/officeDocument/2006/relationships/image" Target="media/image8.png" /><Relationship Id="rId23" Type="http://schemas.openxmlformats.org/officeDocument/2006/relationships/theme" Target="theme/theme1.xml" /><Relationship Id="rId10" Type="http://schemas.openxmlformats.org/officeDocument/2006/relationships/image" Target="media/image3.png" /><Relationship Id="rId19" Type="http://schemas.openxmlformats.org/officeDocument/2006/relationships/footer" Target="footer1.xml" /><Relationship Id="rId4" Type="http://schemas.openxmlformats.org/officeDocument/2006/relationships/settings" Target="settings.xml" /><Relationship Id="rId9" Type="http://schemas.openxmlformats.org/officeDocument/2006/relationships/image" Target="media/image2.png" /><Relationship Id="rId14" Type="http://schemas.openxmlformats.org/officeDocument/2006/relationships/image" Target="media/image7.png" /><Relationship Id="rId22" Type="http://schemas.openxmlformats.org/officeDocument/2006/relationships/fontTable" Target="fontTable.xml" /> </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s>
</file>

<file path=word/_rels/header2.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1186</TotalTime>
  <Pages>11</Pages>
  <Words>1897</Words>
  <Characters>10814</Characters>
  <Application>Microsoft Office Word</Application>
  <DocSecurity>0</DocSecurity>
  <Lines>90</Lines>
  <Paragraphs>25</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Clinical activity within the post</vt:lpstr>
      <vt:lpstr>Proposed Weekly Programme </vt:lpstr>
      <vt:lpstr>    Qualifications:</vt:lpstr>
    </vt:vector>
  </TitlesOfParts>
  <Company>NHS A&amp;A;</Company>
  <LinksUpToDate>false</LinksUpToDate>
  <CharactersWithSpaces>12686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it0017</dc:creator>
  <cp:lastModifiedBy>Tracy Baillie (AA Surgical)</cp:lastModifiedBy>
  <cp:revision>12</cp:revision>
  <cp:lastPrinted>2015-10-14T12:32:00Z</cp:lastPrinted>
  <dcterms:created xsi:type="dcterms:W3CDTF">2023-03-22T08:50:00Z</dcterms:created>
  <dcterms:modified xsi:type="dcterms:W3CDTF">2024-05-10T07:59:00Z</dcterms:modified>
</cp:coreProperties>
</file>