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2057"/>
      </w:tblGrid>
      <w:tr w:rsidR="006A550A" w:rsidRPr="00033472" w14:paraId="72D3FF30" w14:textId="77777777" w:rsidTr="20456618">
        <w:trPr>
          <w:trHeight w:val="720"/>
        </w:trPr>
        <w:tc>
          <w:tcPr>
            <w:tcW w:w="2410" w:type="dxa"/>
            <w:shd w:val="clear" w:color="auto" w:fill="D9D9D9" w:themeFill="background1" w:themeFillShade="D9"/>
          </w:tcPr>
          <w:p w14:paraId="6FBE9D6F" w14:textId="77777777" w:rsidR="006A550A" w:rsidRPr="003F256D" w:rsidRDefault="006A550A" w:rsidP="00A900BC">
            <w:pPr>
              <w:spacing w:before="60" w:after="60"/>
              <w:rPr>
                <w:rFonts w:eastAsia="Cambria" w:cs="Arial"/>
                <w:b/>
                <w:szCs w:val="24"/>
              </w:rPr>
            </w:pPr>
            <w:r w:rsidRPr="003F256D">
              <w:rPr>
                <w:rFonts w:eastAsia="Cambria" w:cs="Arial"/>
                <w:b/>
                <w:szCs w:val="24"/>
              </w:rPr>
              <w:t>Pay Method and Frequency</w:t>
            </w:r>
          </w:p>
        </w:tc>
        <w:tc>
          <w:tcPr>
            <w:tcW w:w="12057" w:type="dxa"/>
            <w:shd w:val="clear" w:color="auto" w:fill="auto"/>
          </w:tcPr>
          <w:p w14:paraId="7EAAA049" w14:textId="2267A867" w:rsidR="006A550A" w:rsidRPr="00033472" w:rsidRDefault="006A550A" w:rsidP="20456618">
            <w:pPr>
              <w:spacing w:before="60" w:after="60"/>
              <w:jc w:val="both"/>
              <w:rPr>
                <w:rFonts w:eastAsia="Cambria" w:cs="Arial"/>
              </w:rPr>
            </w:pPr>
            <w:r w:rsidRPr="20456618">
              <w:rPr>
                <w:rFonts w:eastAsia="Cambria" w:cs="Arial"/>
              </w:rPr>
              <w:t>Payment is every 4 weeks in arrears by</w:t>
            </w:r>
            <w:r w:rsidR="642568DD" w:rsidRPr="20456618">
              <w:rPr>
                <w:rFonts w:eastAsia="Cambria" w:cs="Arial"/>
              </w:rPr>
              <w:t xml:space="preserve"> credit</w:t>
            </w:r>
            <w:r w:rsidRPr="20456618">
              <w:rPr>
                <w:rFonts w:eastAsia="Cambria" w:cs="Arial"/>
              </w:rPr>
              <w:t xml:space="preserve"> transfer to your bank or building society. </w:t>
            </w:r>
          </w:p>
        </w:tc>
      </w:tr>
      <w:tr w:rsidR="006A550A" w:rsidRPr="00033472" w14:paraId="20651188" w14:textId="77777777" w:rsidTr="20456618">
        <w:trPr>
          <w:trHeight w:val="1001"/>
        </w:trPr>
        <w:tc>
          <w:tcPr>
            <w:tcW w:w="2410" w:type="dxa"/>
            <w:shd w:val="clear" w:color="auto" w:fill="D9D9D9" w:themeFill="background1" w:themeFillShade="D9"/>
          </w:tcPr>
          <w:p w14:paraId="49F1B937" w14:textId="096668BC" w:rsidR="006A550A" w:rsidRPr="003F256D" w:rsidRDefault="239DAD7A" w:rsidP="20456618">
            <w:pPr>
              <w:spacing w:before="60" w:after="60"/>
              <w:rPr>
                <w:rFonts w:eastAsia="Cambria" w:cs="Arial"/>
                <w:b/>
                <w:bCs/>
              </w:rPr>
            </w:pPr>
            <w:r w:rsidRPr="20456618">
              <w:rPr>
                <w:rFonts w:eastAsia="Cambria" w:cs="Arial"/>
                <w:b/>
                <w:bCs/>
              </w:rPr>
              <w:t>Hours of Work</w:t>
            </w:r>
          </w:p>
        </w:tc>
        <w:tc>
          <w:tcPr>
            <w:tcW w:w="12057" w:type="dxa"/>
            <w:shd w:val="clear" w:color="auto" w:fill="auto"/>
          </w:tcPr>
          <w:p w14:paraId="595B58A8" w14:textId="7A151FF2" w:rsidR="006A550A" w:rsidRPr="00033472" w:rsidRDefault="239DAD7A" w:rsidP="20456618">
            <w:pPr>
              <w:tabs>
                <w:tab w:val="left" w:pos="720"/>
              </w:tabs>
              <w:spacing w:before="60" w:after="60"/>
              <w:jc w:val="both"/>
              <w:rPr>
                <w:rFonts w:eastAsia="Cambria" w:cs="Arial"/>
              </w:rPr>
            </w:pPr>
            <w:r w:rsidRPr="20456618">
              <w:rPr>
                <w:rFonts w:eastAsia="Cambria" w:cs="Arial"/>
              </w:rPr>
              <w:t>Your contracted hours of work are 36 hours per week. The nature of your position requires flexibility to meet demands and, subject to the provisions of the Working Time Regulations, you are required to arrange your hours of work to meet organisational needs. This may require working out with standard hours of work and working more than 36 hours in a week, for which no additional remuneration will be received.</w:t>
            </w:r>
          </w:p>
        </w:tc>
      </w:tr>
      <w:tr w:rsidR="006A550A" w:rsidRPr="00033472" w14:paraId="4C10C128" w14:textId="77777777" w:rsidTr="20456618">
        <w:trPr>
          <w:trHeight w:val="4605"/>
        </w:trPr>
        <w:tc>
          <w:tcPr>
            <w:tcW w:w="2410" w:type="dxa"/>
            <w:shd w:val="clear" w:color="auto" w:fill="D9D9D9" w:themeFill="background1" w:themeFillShade="D9"/>
          </w:tcPr>
          <w:p w14:paraId="605E427B" w14:textId="77777777" w:rsidR="006A550A" w:rsidRPr="003F256D" w:rsidRDefault="006A550A" w:rsidP="00A900BC">
            <w:pPr>
              <w:spacing w:before="60" w:after="60"/>
              <w:rPr>
                <w:rFonts w:eastAsia="Cambria" w:cs="Arial"/>
                <w:b/>
                <w:szCs w:val="24"/>
              </w:rPr>
            </w:pPr>
            <w:r w:rsidRPr="003F256D">
              <w:rPr>
                <w:rFonts w:eastAsia="Cambria" w:cs="Arial"/>
                <w:b/>
                <w:szCs w:val="24"/>
              </w:rPr>
              <w:t>Leave</w:t>
            </w:r>
          </w:p>
        </w:tc>
        <w:tc>
          <w:tcPr>
            <w:tcW w:w="12057" w:type="dxa"/>
          </w:tcPr>
          <w:p w14:paraId="630A8B64" w14:textId="6147A94E" w:rsidR="00291CB9" w:rsidRPr="00033472" w:rsidRDefault="584C1F00" w:rsidP="20456618">
            <w:pPr>
              <w:spacing w:before="60" w:after="60"/>
              <w:jc w:val="both"/>
              <w:rPr>
                <w:rFonts w:eastAsia="Calibri" w:cs="Arial"/>
              </w:rPr>
            </w:pPr>
            <w:r w:rsidRPr="20456618">
              <w:rPr>
                <w:rFonts w:eastAsia="Calibri" w:cs="Arial"/>
              </w:rPr>
              <w:t xml:space="preserve">The leave year runs from 1 January to 31 December. </w:t>
            </w:r>
          </w:p>
          <w:p w14:paraId="6069A760" w14:textId="547A9C66" w:rsidR="00291CB9" w:rsidRPr="00033472" w:rsidRDefault="00291CB9" w:rsidP="20456618">
            <w:pPr>
              <w:spacing w:before="60" w:after="60"/>
              <w:jc w:val="both"/>
              <w:rPr>
                <w:rFonts w:eastAsia="Calibri" w:cs="Arial"/>
              </w:rPr>
            </w:pPr>
          </w:p>
          <w:p w14:paraId="44E81084" w14:textId="2431EDF9" w:rsidR="00291CB9" w:rsidRPr="00033472" w:rsidRDefault="584C1F00" w:rsidP="20456618">
            <w:pPr>
              <w:spacing w:before="60" w:after="60"/>
              <w:jc w:val="both"/>
              <w:rPr>
                <w:rFonts w:eastAsia="Calibri" w:cs="Arial"/>
              </w:rPr>
            </w:pPr>
            <w:r w:rsidRPr="20456618">
              <w:rPr>
                <w:rFonts w:eastAsia="Calibri" w:cs="Arial"/>
              </w:rPr>
              <w:t>Annual leave entitlement for full-time is:</w:t>
            </w:r>
          </w:p>
          <w:p w14:paraId="59473F34" w14:textId="50419528" w:rsidR="00291CB9" w:rsidRPr="00033472" w:rsidRDefault="584C1F00" w:rsidP="20456618">
            <w:pPr>
              <w:pStyle w:val="ListParagraph"/>
              <w:numPr>
                <w:ilvl w:val="0"/>
                <w:numId w:val="1"/>
              </w:numPr>
              <w:spacing w:before="60" w:after="60"/>
              <w:jc w:val="both"/>
            </w:pPr>
            <w:r w:rsidRPr="20456618">
              <w:rPr>
                <w:rFonts w:eastAsia="Calibri" w:cs="Arial"/>
              </w:rPr>
              <w:t>25 days for up to 5 years continuous service at the commencement of the leave year</w:t>
            </w:r>
          </w:p>
          <w:p w14:paraId="46F31D72" w14:textId="4246F0C9" w:rsidR="00291CB9" w:rsidRPr="00033472" w:rsidRDefault="584C1F00" w:rsidP="20456618">
            <w:pPr>
              <w:pStyle w:val="ListParagraph"/>
              <w:numPr>
                <w:ilvl w:val="0"/>
                <w:numId w:val="1"/>
              </w:numPr>
              <w:spacing w:before="60" w:after="60"/>
              <w:jc w:val="both"/>
            </w:pPr>
            <w:r w:rsidRPr="20456618">
              <w:rPr>
                <w:rFonts w:eastAsia="Calibri" w:cs="Arial"/>
              </w:rPr>
              <w:t>30 days after completion of 5 years continuous service at the commencement of the leave year</w:t>
            </w:r>
          </w:p>
          <w:p w14:paraId="213729EF" w14:textId="1F79AC7B" w:rsidR="00291CB9" w:rsidRPr="00033472" w:rsidRDefault="00291CB9" w:rsidP="20456618">
            <w:pPr>
              <w:spacing w:before="60" w:after="60"/>
              <w:jc w:val="both"/>
              <w:rPr>
                <w:rFonts w:eastAsia="Calibri" w:cs="Arial"/>
              </w:rPr>
            </w:pPr>
          </w:p>
          <w:p w14:paraId="724EAEB7" w14:textId="11B587E3" w:rsidR="00291CB9" w:rsidRPr="00033472" w:rsidRDefault="584C1F00" w:rsidP="20456618">
            <w:pPr>
              <w:spacing w:before="60" w:after="60"/>
              <w:jc w:val="both"/>
            </w:pPr>
            <w:r w:rsidRPr="20456618">
              <w:rPr>
                <w:rFonts w:eastAsia="Calibri" w:cs="Arial"/>
              </w:rPr>
              <w:t>Public Holidays:</w:t>
            </w:r>
          </w:p>
          <w:p w14:paraId="2E328124" w14:textId="331A7E73" w:rsidR="00291CB9" w:rsidRPr="00033472" w:rsidRDefault="584C1F00" w:rsidP="20456618">
            <w:pPr>
              <w:spacing w:before="60" w:after="60"/>
              <w:jc w:val="both"/>
            </w:pPr>
            <w:r w:rsidRPr="20456618">
              <w:rPr>
                <w:rFonts w:eastAsia="Calibri" w:cs="Arial"/>
              </w:rPr>
              <w:t>There are 8 fixed public holidays, as follows:</w:t>
            </w:r>
          </w:p>
          <w:p w14:paraId="030AE143" w14:textId="33DDD4D6" w:rsidR="00291CB9" w:rsidRPr="00033472" w:rsidRDefault="584C1F00" w:rsidP="20456618">
            <w:pPr>
              <w:spacing w:before="60" w:after="60"/>
              <w:jc w:val="both"/>
            </w:pPr>
            <w:r w:rsidRPr="20456618">
              <w:rPr>
                <w:rFonts w:eastAsia="Calibri" w:cs="Arial"/>
              </w:rPr>
              <w:t>6 days over the festive and new year period</w:t>
            </w:r>
          </w:p>
          <w:p w14:paraId="67FD8F42" w14:textId="3D27EE06" w:rsidR="00291CB9" w:rsidRPr="00033472" w:rsidRDefault="584C1F00" w:rsidP="20456618">
            <w:pPr>
              <w:spacing w:before="60" w:after="60"/>
              <w:jc w:val="both"/>
            </w:pPr>
            <w:r w:rsidRPr="20456618">
              <w:rPr>
                <w:rFonts w:eastAsia="Calibri" w:cs="Arial"/>
              </w:rPr>
              <w:t>1 day in May</w:t>
            </w:r>
          </w:p>
          <w:p w14:paraId="61E10CA8" w14:textId="5757CCCD" w:rsidR="00291CB9" w:rsidRPr="00033472" w:rsidRDefault="584C1F00" w:rsidP="20456618">
            <w:pPr>
              <w:spacing w:before="60" w:after="60"/>
              <w:jc w:val="both"/>
              <w:rPr>
                <w:rFonts w:eastAsia="Calibri" w:cs="Arial"/>
              </w:rPr>
            </w:pPr>
            <w:r w:rsidRPr="20456618">
              <w:rPr>
                <w:rFonts w:eastAsia="Calibri" w:cs="Arial"/>
              </w:rPr>
              <w:t>1 day in July</w:t>
            </w:r>
          </w:p>
          <w:p w14:paraId="06CE6CC8" w14:textId="0F936340" w:rsidR="00291CB9" w:rsidRPr="00033472" w:rsidRDefault="00291CB9" w:rsidP="20456618">
            <w:pPr>
              <w:spacing w:before="60" w:after="60"/>
              <w:jc w:val="both"/>
              <w:rPr>
                <w:rFonts w:eastAsia="Calibri" w:cs="Arial"/>
              </w:rPr>
            </w:pPr>
          </w:p>
          <w:p w14:paraId="5B2596A3" w14:textId="782F888B" w:rsidR="00291CB9" w:rsidRPr="00033472" w:rsidRDefault="3C9A52E5" w:rsidP="20456618">
            <w:pPr>
              <w:spacing w:before="60" w:after="60"/>
              <w:jc w:val="both"/>
            </w:pPr>
            <w:r w:rsidRPr="20456618">
              <w:rPr>
                <w:rFonts w:eastAsia="Calibri" w:cs="Arial"/>
              </w:rPr>
              <w:t>T</w:t>
            </w:r>
            <w:r w:rsidR="03D00EEC" w:rsidRPr="20456618">
              <w:rPr>
                <w:rFonts w:eastAsia="Calibri" w:cs="Arial"/>
              </w:rPr>
              <w:t>he Council provides a range of statutory and other leave, such as family-friendly leave.</w:t>
            </w:r>
          </w:p>
        </w:tc>
      </w:tr>
      <w:tr w:rsidR="006A550A" w:rsidRPr="00033472" w14:paraId="537DBA54" w14:textId="77777777" w:rsidTr="20456618">
        <w:trPr>
          <w:trHeight w:val="423"/>
        </w:trPr>
        <w:tc>
          <w:tcPr>
            <w:tcW w:w="2410" w:type="dxa"/>
            <w:shd w:val="clear" w:color="auto" w:fill="D9D9D9" w:themeFill="background1" w:themeFillShade="D9"/>
          </w:tcPr>
          <w:p w14:paraId="39CF027C" w14:textId="4E82136C" w:rsidR="006A550A" w:rsidRPr="003F256D" w:rsidRDefault="006A550A" w:rsidP="20456618">
            <w:pPr>
              <w:spacing w:before="60" w:after="60"/>
              <w:rPr>
                <w:rFonts w:eastAsia="Cambria" w:cs="Arial"/>
                <w:b/>
                <w:bCs/>
              </w:rPr>
            </w:pPr>
            <w:r w:rsidRPr="20456618">
              <w:rPr>
                <w:rFonts w:eastAsia="Cambria" w:cs="Arial"/>
                <w:b/>
                <w:bCs/>
              </w:rPr>
              <w:t>Sick P</w:t>
            </w:r>
            <w:r w:rsidR="4FB43AC7" w:rsidRPr="20456618">
              <w:rPr>
                <w:rFonts w:eastAsia="Cambria" w:cs="Arial"/>
                <w:b/>
                <w:bCs/>
              </w:rPr>
              <w:t>ay</w:t>
            </w:r>
          </w:p>
        </w:tc>
        <w:tc>
          <w:tcPr>
            <w:tcW w:w="12057" w:type="dxa"/>
          </w:tcPr>
          <w:p w14:paraId="52E71715" w14:textId="25A5CABB" w:rsidR="006A550A" w:rsidRDefault="006A550A" w:rsidP="00A900BC">
            <w:pPr>
              <w:spacing w:before="60" w:after="60"/>
              <w:jc w:val="both"/>
              <w:rPr>
                <w:rStyle w:val="Hyperlink"/>
                <w:rFonts w:eastAsia="Cambria" w:cs="Arial"/>
                <w:szCs w:val="24"/>
              </w:rPr>
            </w:pPr>
            <w:r w:rsidRPr="20456618">
              <w:rPr>
                <w:rFonts w:eastAsia="Cambria" w:cs="Arial"/>
              </w:rPr>
              <w:t>The amount of sickness allowance depends on the length of employment service.</w:t>
            </w:r>
          </w:p>
          <w:p w14:paraId="2CB1233A" w14:textId="7D3A3D2E" w:rsidR="00291CB9" w:rsidRPr="00033472" w:rsidRDefault="1C8B6289" w:rsidP="20456618">
            <w:pPr>
              <w:spacing w:before="60" w:after="60"/>
              <w:jc w:val="both"/>
              <w:rPr>
                <w:rFonts w:eastAsia="Cambria" w:cs="Arial"/>
              </w:rPr>
            </w:pPr>
            <w:r w:rsidRPr="20456618">
              <w:rPr>
                <w:rFonts w:eastAsia="Cambria" w:cs="Arial"/>
              </w:rPr>
              <w:t xml:space="preserve">Less than 26 weeks continuous </w:t>
            </w:r>
            <w:proofErr w:type="gramStart"/>
            <w:r w:rsidRPr="20456618">
              <w:rPr>
                <w:rFonts w:eastAsia="Cambria" w:cs="Arial"/>
              </w:rPr>
              <w:t>service  -</w:t>
            </w:r>
            <w:proofErr w:type="gramEnd"/>
            <w:r w:rsidRPr="20456618">
              <w:rPr>
                <w:rFonts w:eastAsia="Cambria" w:cs="Arial"/>
              </w:rPr>
              <w:t xml:space="preserve"> SSP</w:t>
            </w:r>
          </w:p>
          <w:p w14:paraId="321A3915" w14:textId="7166E20C" w:rsidR="00291CB9" w:rsidRPr="00033472" w:rsidRDefault="1C8B6289" w:rsidP="20456618">
            <w:pPr>
              <w:spacing w:before="60" w:after="60"/>
              <w:jc w:val="both"/>
            </w:pPr>
            <w:r w:rsidRPr="20456618">
              <w:rPr>
                <w:rFonts w:eastAsia="Cambria" w:cs="Arial"/>
              </w:rPr>
              <w:t xml:space="preserve">26 weeks or more but less than 1 </w:t>
            </w:r>
            <w:proofErr w:type="gramStart"/>
            <w:r w:rsidRPr="20456618">
              <w:rPr>
                <w:rFonts w:eastAsia="Cambria" w:cs="Arial"/>
              </w:rPr>
              <w:t>year  -</w:t>
            </w:r>
            <w:proofErr w:type="gramEnd"/>
            <w:r w:rsidRPr="20456618">
              <w:rPr>
                <w:rFonts w:eastAsia="Cambria" w:cs="Arial"/>
              </w:rPr>
              <w:t xml:space="preserve"> Full allowance for 5 weeks; half allowance for 5 weeks</w:t>
            </w:r>
          </w:p>
          <w:p w14:paraId="609FBAD4" w14:textId="4DA2D330" w:rsidR="00291CB9" w:rsidRPr="00033472" w:rsidRDefault="1C8B6289" w:rsidP="20456618">
            <w:pPr>
              <w:spacing w:before="60" w:after="60"/>
              <w:jc w:val="both"/>
            </w:pPr>
            <w:r w:rsidRPr="20456618">
              <w:rPr>
                <w:rFonts w:eastAsia="Cambria" w:cs="Arial"/>
              </w:rPr>
              <w:t xml:space="preserve">1 year, but less than 2 </w:t>
            </w:r>
            <w:proofErr w:type="gramStart"/>
            <w:r w:rsidRPr="20456618">
              <w:rPr>
                <w:rFonts w:eastAsia="Cambria" w:cs="Arial"/>
              </w:rPr>
              <w:t>years  -</w:t>
            </w:r>
            <w:proofErr w:type="gramEnd"/>
            <w:r w:rsidRPr="20456618">
              <w:rPr>
                <w:rFonts w:eastAsia="Cambria" w:cs="Arial"/>
              </w:rPr>
              <w:t xml:space="preserve"> Full allowance for 9 weeks; half allowance for 9 weeks</w:t>
            </w:r>
          </w:p>
          <w:p w14:paraId="271C6679" w14:textId="030C58CD" w:rsidR="00291CB9" w:rsidRPr="00033472" w:rsidRDefault="1C8B6289" w:rsidP="20456618">
            <w:pPr>
              <w:spacing w:before="60" w:after="60"/>
              <w:jc w:val="both"/>
            </w:pPr>
            <w:r w:rsidRPr="20456618">
              <w:rPr>
                <w:rFonts w:eastAsia="Cambria" w:cs="Arial"/>
              </w:rPr>
              <w:lastRenderedPageBreak/>
              <w:t xml:space="preserve">2 years, but less than 3 </w:t>
            </w:r>
            <w:proofErr w:type="gramStart"/>
            <w:r w:rsidRPr="20456618">
              <w:rPr>
                <w:rFonts w:eastAsia="Cambria" w:cs="Arial"/>
              </w:rPr>
              <w:t>years  -</w:t>
            </w:r>
            <w:proofErr w:type="gramEnd"/>
            <w:r w:rsidRPr="20456618">
              <w:rPr>
                <w:rFonts w:eastAsia="Cambria" w:cs="Arial"/>
              </w:rPr>
              <w:t xml:space="preserve"> Full allowance for 18 weeks; half allowance for 18 weeks</w:t>
            </w:r>
          </w:p>
          <w:p w14:paraId="76C3D380" w14:textId="1C740208" w:rsidR="00291CB9" w:rsidRPr="00033472" w:rsidRDefault="1C8B6289" w:rsidP="20456618">
            <w:pPr>
              <w:spacing w:before="60" w:after="60"/>
              <w:jc w:val="both"/>
            </w:pPr>
            <w:r w:rsidRPr="20456618">
              <w:rPr>
                <w:rFonts w:eastAsia="Cambria" w:cs="Arial"/>
              </w:rPr>
              <w:t xml:space="preserve">3 years, but less than 5 </w:t>
            </w:r>
            <w:proofErr w:type="gramStart"/>
            <w:r w:rsidRPr="20456618">
              <w:rPr>
                <w:rFonts w:eastAsia="Cambria" w:cs="Arial"/>
              </w:rPr>
              <w:t>years  -</w:t>
            </w:r>
            <w:proofErr w:type="gramEnd"/>
            <w:r w:rsidRPr="20456618">
              <w:rPr>
                <w:rFonts w:eastAsia="Cambria" w:cs="Arial"/>
              </w:rPr>
              <w:t xml:space="preserve"> Full allowance for 22 weeks; half allowance for 22 weeks</w:t>
            </w:r>
          </w:p>
          <w:p w14:paraId="559F188D" w14:textId="75E0FBAB" w:rsidR="00291CB9" w:rsidRPr="00033472" w:rsidRDefault="1C8B6289" w:rsidP="20456618">
            <w:pPr>
              <w:spacing w:before="60" w:after="60"/>
              <w:jc w:val="both"/>
            </w:pPr>
            <w:r w:rsidRPr="20456618">
              <w:rPr>
                <w:rFonts w:eastAsia="Cambria" w:cs="Arial"/>
              </w:rPr>
              <w:t xml:space="preserve">5 years or </w:t>
            </w:r>
            <w:proofErr w:type="gramStart"/>
            <w:r w:rsidRPr="20456618">
              <w:rPr>
                <w:rFonts w:eastAsia="Cambria" w:cs="Arial"/>
              </w:rPr>
              <w:t>more  -</w:t>
            </w:r>
            <w:proofErr w:type="gramEnd"/>
            <w:r w:rsidRPr="20456618">
              <w:rPr>
                <w:rFonts w:eastAsia="Cambria" w:cs="Arial"/>
              </w:rPr>
              <w:t xml:space="preserve"> Full allowance for 26 weeks; half allowance for 26 weeks</w:t>
            </w:r>
          </w:p>
        </w:tc>
      </w:tr>
      <w:tr w:rsidR="006A550A" w:rsidRPr="00033472" w14:paraId="49F0898D" w14:textId="77777777" w:rsidTr="20456618">
        <w:trPr>
          <w:trHeight w:val="825"/>
        </w:trPr>
        <w:tc>
          <w:tcPr>
            <w:tcW w:w="2410" w:type="dxa"/>
            <w:shd w:val="clear" w:color="auto" w:fill="D9D9D9" w:themeFill="background1" w:themeFillShade="D9"/>
          </w:tcPr>
          <w:p w14:paraId="196211F1" w14:textId="77777777" w:rsidR="006A550A" w:rsidRPr="003F256D" w:rsidRDefault="006A550A" w:rsidP="00A900BC">
            <w:pPr>
              <w:spacing w:before="60" w:after="60"/>
              <w:rPr>
                <w:rFonts w:eastAsia="Cambria" w:cs="Arial"/>
                <w:b/>
                <w:szCs w:val="24"/>
              </w:rPr>
            </w:pPr>
            <w:r w:rsidRPr="003F256D">
              <w:rPr>
                <w:rFonts w:eastAsia="Cambria" w:cs="Arial"/>
                <w:b/>
                <w:szCs w:val="24"/>
              </w:rPr>
              <w:lastRenderedPageBreak/>
              <w:t>Pension</w:t>
            </w:r>
          </w:p>
        </w:tc>
        <w:tc>
          <w:tcPr>
            <w:tcW w:w="12057" w:type="dxa"/>
          </w:tcPr>
          <w:p w14:paraId="41A09E95" w14:textId="7305EB8D" w:rsidR="00291CB9" w:rsidRPr="00033472" w:rsidRDefault="10B4124B" w:rsidP="20456618">
            <w:pPr>
              <w:jc w:val="both"/>
              <w:rPr>
                <w:rStyle w:val="Hyperlink"/>
                <w:rFonts w:eastAsia="Cambria" w:cs="Arial"/>
              </w:rPr>
            </w:pPr>
            <w:r w:rsidRPr="20456618">
              <w:rPr>
                <w:rFonts w:eastAsia="Cambria" w:cs="Arial"/>
              </w:rPr>
              <w:t xml:space="preserve">You will be automatically enrolled to the Local Government Pension Scheme (LGPS). You may opt out. Full details of the terms and conditions relating to pensions and the LGPS are available at </w:t>
            </w:r>
            <w:hyperlink r:id="rId12">
              <w:r w:rsidRPr="20456618">
                <w:rPr>
                  <w:rStyle w:val="Hyperlink"/>
                  <w:rFonts w:eastAsia="Cambria" w:cs="Arial"/>
                </w:rPr>
                <w:t>www.fifepensionfund.org</w:t>
              </w:r>
            </w:hyperlink>
          </w:p>
        </w:tc>
      </w:tr>
      <w:tr w:rsidR="006A550A" w:rsidRPr="00033472" w14:paraId="06725343" w14:textId="77777777" w:rsidTr="20456618">
        <w:trPr>
          <w:trHeight w:val="917"/>
        </w:trPr>
        <w:tc>
          <w:tcPr>
            <w:tcW w:w="2410" w:type="dxa"/>
            <w:shd w:val="clear" w:color="auto" w:fill="D9D9D9" w:themeFill="background1" w:themeFillShade="D9"/>
          </w:tcPr>
          <w:p w14:paraId="2BD9D4BE" w14:textId="77777777" w:rsidR="006A550A" w:rsidRPr="003F256D" w:rsidRDefault="006A550A" w:rsidP="00A900BC">
            <w:pPr>
              <w:spacing w:before="60" w:after="60"/>
              <w:rPr>
                <w:rFonts w:eastAsia="Cambria" w:cs="Arial"/>
                <w:b/>
                <w:szCs w:val="24"/>
              </w:rPr>
            </w:pPr>
            <w:r w:rsidRPr="003F256D">
              <w:rPr>
                <w:rFonts w:cs="Arial"/>
                <w:b/>
                <w:szCs w:val="24"/>
              </w:rPr>
              <w:t>Whole-time Service</w:t>
            </w:r>
          </w:p>
        </w:tc>
        <w:tc>
          <w:tcPr>
            <w:tcW w:w="12057" w:type="dxa"/>
          </w:tcPr>
          <w:p w14:paraId="5EC353CA" w14:textId="20A11D12" w:rsidR="006A550A" w:rsidRPr="00033472" w:rsidRDefault="006A550A" w:rsidP="20456618">
            <w:pPr>
              <w:spacing w:after="0"/>
              <w:jc w:val="both"/>
              <w:rPr>
                <w:rFonts w:eastAsia="Calibri" w:cs="Arial"/>
              </w:rPr>
            </w:pPr>
            <w:r w:rsidRPr="20456618">
              <w:rPr>
                <w:rFonts w:eastAsia="Cambria" w:cs="Arial"/>
              </w:rPr>
              <w:t xml:space="preserve">Chief Officers will be expected to devote their </w:t>
            </w:r>
            <w:r w:rsidR="754AAA63" w:rsidRPr="20456618">
              <w:rPr>
                <w:rFonts w:eastAsia="Cambria" w:cs="Arial"/>
              </w:rPr>
              <w:t>whole-time</w:t>
            </w:r>
            <w:r w:rsidRPr="20456618">
              <w:rPr>
                <w:rFonts w:eastAsia="Cambria" w:cs="Arial"/>
              </w:rPr>
              <w:t xml:space="preserve"> service to the work of the Council and shall not engage in any other business or take up any other appointment without the express consent of the Council.</w:t>
            </w:r>
          </w:p>
        </w:tc>
      </w:tr>
    </w:tbl>
    <w:p w14:paraId="02B0BC20" w14:textId="77777777" w:rsidR="00970957" w:rsidRDefault="00970957" w:rsidP="00A900BC">
      <w:pPr>
        <w:spacing w:before="60" w:after="60"/>
        <w:rPr>
          <w:rFonts w:eastAsia="Cambria" w:cs="Arial"/>
          <w:b/>
          <w:color w:val="004B64"/>
          <w:szCs w:val="24"/>
        </w:rPr>
        <w:sectPr w:rsidR="00970957" w:rsidSect="002D5848">
          <w:headerReference w:type="default" r:id="rId13"/>
          <w:footerReference w:type="default" r:id="rId14"/>
          <w:pgSz w:w="16838" w:h="11906" w:orient="landscape"/>
          <w:pgMar w:top="1985" w:right="1134" w:bottom="1134" w:left="1134" w:header="709" w:footer="283" w:gutter="0"/>
          <w:cols w:space="708"/>
          <w:docGrid w:linePitch="360"/>
        </w:sectPr>
      </w:pPr>
    </w:p>
    <w:tbl>
      <w:tblPr>
        <w:tblpPr w:leftFromText="180" w:rightFromText="180" w:vertAnchor="page" w:horzAnchor="margin" w:tblpY="738"/>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2191"/>
      </w:tblGrid>
      <w:tr w:rsidR="006A550A" w:rsidRPr="00033472" w14:paraId="081EA613" w14:textId="77777777" w:rsidTr="20456618">
        <w:trPr>
          <w:trHeight w:val="648"/>
        </w:trPr>
        <w:tc>
          <w:tcPr>
            <w:tcW w:w="2410" w:type="dxa"/>
            <w:shd w:val="clear" w:color="auto" w:fill="D9D9D9" w:themeFill="background1" w:themeFillShade="D9"/>
          </w:tcPr>
          <w:p w14:paraId="6AF0F3E0" w14:textId="51068888" w:rsidR="006A550A" w:rsidRPr="003F256D" w:rsidRDefault="006A550A" w:rsidP="00970957">
            <w:pPr>
              <w:spacing w:before="60" w:after="60"/>
              <w:rPr>
                <w:rFonts w:eastAsia="Cambria" w:cs="Arial"/>
                <w:b/>
                <w:szCs w:val="24"/>
              </w:rPr>
            </w:pPr>
            <w:r w:rsidRPr="003F256D">
              <w:rPr>
                <w:rFonts w:eastAsia="Cambria" w:cs="Arial"/>
                <w:b/>
                <w:szCs w:val="24"/>
              </w:rPr>
              <w:lastRenderedPageBreak/>
              <w:t>Canvassing</w:t>
            </w:r>
          </w:p>
        </w:tc>
        <w:tc>
          <w:tcPr>
            <w:tcW w:w="12191" w:type="dxa"/>
          </w:tcPr>
          <w:p w14:paraId="38C8BD9B" w14:textId="6A62CDCC" w:rsidR="007B5EAD" w:rsidRPr="00033472" w:rsidRDefault="006A550A" w:rsidP="00970957">
            <w:pPr>
              <w:jc w:val="both"/>
              <w:rPr>
                <w:rFonts w:eastAsia="Cambria" w:cs="Arial"/>
                <w:szCs w:val="24"/>
              </w:rPr>
            </w:pPr>
            <w:r w:rsidRPr="00033472">
              <w:rPr>
                <w:rFonts w:eastAsia="Cambria" w:cs="Arial"/>
                <w:szCs w:val="24"/>
              </w:rPr>
              <w:t>Canvassing of members or officials, directly or indirectly, will be a disqualification for consideration for appointment.</w:t>
            </w:r>
          </w:p>
        </w:tc>
      </w:tr>
      <w:tr w:rsidR="006A550A" w:rsidRPr="00033472" w14:paraId="06C94BF1" w14:textId="77777777" w:rsidTr="20456618">
        <w:trPr>
          <w:trHeight w:val="5734"/>
        </w:trPr>
        <w:tc>
          <w:tcPr>
            <w:tcW w:w="2410" w:type="dxa"/>
            <w:shd w:val="clear" w:color="auto" w:fill="D9D9D9" w:themeFill="background1" w:themeFillShade="D9"/>
          </w:tcPr>
          <w:p w14:paraId="1AD5D450" w14:textId="77777777" w:rsidR="006A550A" w:rsidRPr="003F256D" w:rsidRDefault="006A550A" w:rsidP="00970957">
            <w:pPr>
              <w:spacing w:before="60" w:after="60"/>
              <w:rPr>
                <w:rFonts w:eastAsia="Cambria" w:cs="Arial"/>
                <w:b/>
                <w:szCs w:val="24"/>
              </w:rPr>
            </w:pPr>
            <w:r w:rsidRPr="003F256D">
              <w:rPr>
                <w:rFonts w:eastAsia="Cambria" w:cs="Arial"/>
                <w:b/>
                <w:szCs w:val="24"/>
              </w:rPr>
              <w:t>Restrictions on Political Activity</w:t>
            </w:r>
          </w:p>
        </w:tc>
        <w:tc>
          <w:tcPr>
            <w:tcW w:w="12191" w:type="dxa"/>
          </w:tcPr>
          <w:p w14:paraId="183EB763" w14:textId="77777777" w:rsidR="006A550A" w:rsidRPr="00033472" w:rsidRDefault="006A550A" w:rsidP="00970957">
            <w:pPr>
              <w:jc w:val="both"/>
              <w:rPr>
                <w:rFonts w:eastAsia="Cambria" w:cs="Arial"/>
                <w:szCs w:val="24"/>
              </w:rPr>
            </w:pPr>
            <w:r w:rsidRPr="00033472">
              <w:rPr>
                <w:rFonts w:eastAsia="Cambria" w:cs="Arial"/>
                <w:szCs w:val="24"/>
              </w:rPr>
              <w:t>This post is designated as politically restricted within the terms of Section 2 of the Local Government &amp; Housing Act 1989.</w:t>
            </w:r>
          </w:p>
          <w:p w14:paraId="390E1EE4" w14:textId="77777777" w:rsidR="006A550A" w:rsidRPr="00033472" w:rsidRDefault="006A550A" w:rsidP="00970957">
            <w:pPr>
              <w:jc w:val="both"/>
              <w:rPr>
                <w:rFonts w:eastAsia="Cambria" w:cs="Arial"/>
                <w:szCs w:val="24"/>
              </w:rPr>
            </w:pPr>
            <w:r w:rsidRPr="00033472">
              <w:rPr>
                <w:rFonts w:eastAsia="Cambria" w:cs="Arial"/>
                <w:szCs w:val="24"/>
              </w:rPr>
              <w:t>The Local Government Officers’ (Political Restrictions) Regulations 1990 provide that your terms and conditions of employment be deemed to incorporate additional provisions set out in the Schedule to the Regulations.  Copies are available from the Chief Legal Officer, Legal Services, Fife House, North Street, Glenrothes.</w:t>
            </w:r>
          </w:p>
          <w:p w14:paraId="6DC3E711" w14:textId="77777777" w:rsidR="006A550A" w:rsidRPr="00033472" w:rsidRDefault="006A550A" w:rsidP="00970957">
            <w:pPr>
              <w:jc w:val="both"/>
              <w:rPr>
                <w:rFonts w:eastAsia="Cambria" w:cs="Arial"/>
                <w:szCs w:val="24"/>
              </w:rPr>
            </w:pPr>
            <w:r w:rsidRPr="00033472">
              <w:rPr>
                <w:rFonts w:eastAsia="Cambria" w:cs="Arial"/>
                <w:szCs w:val="24"/>
              </w:rPr>
              <w:t>References to “the appointee” in the Schedule apply to you, and you are subject to the restrictions in parts I and II.  Part III only applies to political assistants.</w:t>
            </w:r>
          </w:p>
          <w:p w14:paraId="0F847A01" w14:textId="77777777" w:rsidR="006A550A" w:rsidRPr="00033472" w:rsidRDefault="006A550A" w:rsidP="00970957">
            <w:pPr>
              <w:jc w:val="both"/>
              <w:rPr>
                <w:rFonts w:eastAsia="Cambria" w:cs="Arial"/>
                <w:szCs w:val="24"/>
              </w:rPr>
            </w:pPr>
            <w:r w:rsidRPr="00033472">
              <w:rPr>
                <w:rFonts w:eastAsia="Cambria" w:cs="Arial"/>
                <w:szCs w:val="24"/>
              </w:rPr>
              <w:t>The principal effects of the restrictions are:</w:t>
            </w:r>
          </w:p>
          <w:p w14:paraId="68493188" w14:textId="0187D2C4" w:rsidR="006A550A" w:rsidRPr="00F01E61" w:rsidRDefault="006A550A" w:rsidP="00970957">
            <w:pPr>
              <w:pStyle w:val="ListParagraph"/>
              <w:numPr>
                <w:ilvl w:val="0"/>
                <w:numId w:val="9"/>
              </w:numPr>
              <w:jc w:val="both"/>
              <w:rPr>
                <w:rFonts w:eastAsia="Cambria" w:cs="Arial"/>
                <w:szCs w:val="24"/>
              </w:rPr>
            </w:pPr>
            <w:r w:rsidRPr="00F01E61">
              <w:rPr>
                <w:rFonts w:eastAsia="Cambria" w:cs="Arial"/>
                <w:szCs w:val="24"/>
              </w:rPr>
              <w:t>If you wish to stand for election as an MP, European MP, MSP or Local Authority Councillor, you must resign from this post before your intention becomes public knowledge.</w:t>
            </w:r>
          </w:p>
          <w:p w14:paraId="5AFE1EF2" w14:textId="2F8EF603" w:rsidR="006A550A" w:rsidRPr="00F01E61" w:rsidRDefault="006A550A" w:rsidP="00970957">
            <w:pPr>
              <w:pStyle w:val="ListParagraph"/>
              <w:numPr>
                <w:ilvl w:val="0"/>
                <w:numId w:val="9"/>
              </w:numPr>
              <w:jc w:val="both"/>
              <w:rPr>
                <w:rFonts w:eastAsia="Cambria" w:cs="Arial"/>
                <w:szCs w:val="24"/>
              </w:rPr>
            </w:pPr>
            <w:r w:rsidRPr="00F01E61">
              <w:rPr>
                <w:rFonts w:eastAsia="Cambria" w:cs="Arial"/>
                <w:szCs w:val="24"/>
              </w:rPr>
              <w:t>You may not act as an election agent or sub-agent while holding the post.</w:t>
            </w:r>
          </w:p>
          <w:p w14:paraId="61F6235F" w14:textId="35435035" w:rsidR="006A550A" w:rsidRPr="00F01E61" w:rsidRDefault="006A550A" w:rsidP="00970957">
            <w:pPr>
              <w:pStyle w:val="ListParagraph"/>
              <w:numPr>
                <w:ilvl w:val="0"/>
                <w:numId w:val="9"/>
              </w:numPr>
              <w:jc w:val="both"/>
              <w:rPr>
                <w:rFonts w:eastAsia="Cambria" w:cs="Arial"/>
                <w:szCs w:val="24"/>
              </w:rPr>
            </w:pPr>
            <w:r w:rsidRPr="00F01E61">
              <w:rPr>
                <w:rFonts w:eastAsia="Cambria" w:cs="Arial"/>
                <w:szCs w:val="24"/>
              </w:rPr>
              <w:t xml:space="preserve">If you are a member of a political party, you must not hold any office or be a committee member if this would involve representing the party or local </w:t>
            </w:r>
            <w:proofErr w:type="gramStart"/>
            <w:r w:rsidRPr="00F01E61">
              <w:rPr>
                <w:rFonts w:eastAsia="Cambria" w:cs="Arial"/>
                <w:szCs w:val="24"/>
              </w:rPr>
              <w:t>branch, or</w:t>
            </w:r>
            <w:proofErr w:type="gramEnd"/>
            <w:r w:rsidRPr="00F01E61">
              <w:rPr>
                <w:rFonts w:eastAsia="Cambria" w:cs="Arial"/>
                <w:szCs w:val="24"/>
              </w:rPr>
              <w:t xml:space="preserve"> engaging in its general management.</w:t>
            </w:r>
          </w:p>
          <w:p w14:paraId="3AB7DE36" w14:textId="3945B4F0" w:rsidR="006A550A" w:rsidRPr="00F01E61" w:rsidRDefault="006A550A" w:rsidP="00970957">
            <w:pPr>
              <w:pStyle w:val="ListParagraph"/>
              <w:numPr>
                <w:ilvl w:val="0"/>
                <w:numId w:val="9"/>
              </w:numPr>
              <w:jc w:val="both"/>
              <w:rPr>
                <w:rFonts w:eastAsia="Cambria" w:cs="Arial"/>
                <w:szCs w:val="24"/>
              </w:rPr>
            </w:pPr>
            <w:r w:rsidRPr="00F01E61">
              <w:rPr>
                <w:rFonts w:eastAsia="Cambria" w:cs="Arial"/>
                <w:szCs w:val="24"/>
              </w:rPr>
              <w:t>You may not canvass for any candidate or political party.</w:t>
            </w:r>
          </w:p>
          <w:p w14:paraId="3AD48A45" w14:textId="73B067BF" w:rsidR="006A550A" w:rsidRPr="00F01E61" w:rsidRDefault="006A550A" w:rsidP="00970957">
            <w:pPr>
              <w:pStyle w:val="ListParagraph"/>
              <w:numPr>
                <w:ilvl w:val="0"/>
                <w:numId w:val="9"/>
              </w:numPr>
              <w:jc w:val="both"/>
              <w:rPr>
                <w:rFonts w:eastAsia="Cambria" w:cs="Arial"/>
                <w:szCs w:val="24"/>
              </w:rPr>
            </w:pPr>
            <w:r w:rsidRPr="00F01E61">
              <w:rPr>
                <w:rFonts w:eastAsia="Cambria" w:cs="Arial"/>
                <w:szCs w:val="24"/>
              </w:rPr>
              <w:t>You may not speak in public, give an interview or publish any written or artistic work which supports or opposes a particular political party or the point of view identifiable as the view of a particular political party (applies to all political parties within the European Community).  However, this does not prevent you displaying an election poster or similar document, nor shall it prevent you carrying out the proper duties of your post.</w:t>
            </w:r>
          </w:p>
        </w:tc>
      </w:tr>
      <w:tr w:rsidR="006A550A" w:rsidRPr="00033472" w14:paraId="24D6D28A" w14:textId="77777777" w:rsidTr="20456618">
        <w:trPr>
          <w:trHeight w:val="848"/>
        </w:trPr>
        <w:tc>
          <w:tcPr>
            <w:tcW w:w="2410" w:type="dxa"/>
            <w:shd w:val="clear" w:color="auto" w:fill="D9D9D9" w:themeFill="background1" w:themeFillShade="D9"/>
          </w:tcPr>
          <w:p w14:paraId="73730BFA" w14:textId="104FBA5A" w:rsidR="006A550A" w:rsidRPr="003F256D" w:rsidRDefault="620B9BD6" w:rsidP="20456618">
            <w:pPr>
              <w:spacing w:before="60" w:after="60"/>
              <w:rPr>
                <w:rFonts w:eastAsia="Cambria" w:cs="Arial"/>
                <w:b/>
                <w:bCs/>
              </w:rPr>
            </w:pPr>
            <w:r w:rsidRPr="20456618">
              <w:rPr>
                <w:rFonts w:eastAsia="Cambria" w:cs="Arial"/>
                <w:b/>
                <w:bCs/>
              </w:rPr>
              <w:t>Employee Benefits</w:t>
            </w:r>
          </w:p>
        </w:tc>
        <w:tc>
          <w:tcPr>
            <w:tcW w:w="12191" w:type="dxa"/>
          </w:tcPr>
          <w:p w14:paraId="7329C77C" w14:textId="273C211E" w:rsidR="007B5EAD" w:rsidRPr="00033472" w:rsidRDefault="620B9BD6" w:rsidP="20456618">
            <w:pPr>
              <w:jc w:val="both"/>
              <w:rPr>
                <w:rFonts w:eastAsia="Cambria" w:cs="Arial"/>
              </w:rPr>
            </w:pPr>
            <w:r w:rsidRPr="20456618">
              <w:rPr>
                <w:rFonts w:eastAsia="Cambria" w:cs="Arial"/>
              </w:rPr>
              <w:t>A range of employee benefits, such as discounts with local businesses, childcare vouchers and lifestyle benefits such as cycle scheme and technology scheme, is available.</w:t>
            </w:r>
          </w:p>
        </w:tc>
      </w:tr>
      <w:tr w:rsidR="006A550A" w:rsidRPr="00033472" w14:paraId="66C447BE" w14:textId="77777777" w:rsidTr="20456618">
        <w:trPr>
          <w:trHeight w:val="77"/>
        </w:trPr>
        <w:tc>
          <w:tcPr>
            <w:tcW w:w="2410" w:type="dxa"/>
            <w:shd w:val="clear" w:color="auto" w:fill="D9D9D9" w:themeFill="background1" w:themeFillShade="D9"/>
          </w:tcPr>
          <w:p w14:paraId="6057C096" w14:textId="77777777" w:rsidR="006A550A" w:rsidRPr="003F256D" w:rsidRDefault="006A550A" w:rsidP="00970957">
            <w:pPr>
              <w:spacing w:before="60" w:after="60"/>
              <w:rPr>
                <w:rFonts w:eastAsia="Cambria" w:cs="Arial"/>
                <w:b/>
                <w:szCs w:val="24"/>
              </w:rPr>
            </w:pPr>
            <w:r w:rsidRPr="003F256D">
              <w:rPr>
                <w:rFonts w:eastAsia="Cambria" w:cs="Arial"/>
                <w:b/>
                <w:szCs w:val="24"/>
              </w:rPr>
              <w:t>Notice Requirement</w:t>
            </w:r>
          </w:p>
        </w:tc>
        <w:tc>
          <w:tcPr>
            <w:tcW w:w="12191" w:type="dxa"/>
          </w:tcPr>
          <w:p w14:paraId="21842D22" w14:textId="1DBCA725" w:rsidR="006A550A" w:rsidRPr="00033472" w:rsidRDefault="006A550A" w:rsidP="00190FE9">
            <w:pPr>
              <w:jc w:val="both"/>
              <w:rPr>
                <w:rFonts w:eastAsia="Cambria" w:cs="Arial"/>
                <w:szCs w:val="24"/>
              </w:rPr>
            </w:pPr>
            <w:r w:rsidRPr="00033472">
              <w:rPr>
                <w:rFonts w:eastAsia="Cambria" w:cs="Arial"/>
                <w:szCs w:val="24"/>
              </w:rPr>
              <w:t>The period of notice to be given by either party to terminate employment will be 12 weeks.</w:t>
            </w:r>
            <w:r w:rsidR="004D7EE1">
              <w:rPr>
                <w:rFonts w:eastAsia="Cambria" w:cs="Arial"/>
                <w:szCs w:val="24"/>
              </w:rPr>
              <w:t xml:space="preserve"> </w:t>
            </w:r>
          </w:p>
        </w:tc>
      </w:tr>
      <w:tr w:rsidR="20456618" w14:paraId="53B8013A" w14:textId="77777777" w:rsidTr="20456618">
        <w:trPr>
          <w:trHeight w:val="77"/>
        </w:trPr>
        <w:tc>
          <w:tcPr>
            <w:tcW w:w="2410" w:type="dxa"/>
            <w:shd w:val="clear" w:color="auto" w:fill="D9D9D9" w:themeFill="background1" w:themeFillShade="D9"/>
          </w:tcPr>
          <w:p w14:paraId="169EDB89" w14:textId="151464EF" w:rsidR="4DB776B5" w:rsidRDefault="4DB776B5" w:rsidP="20456618">
            <w:pPr>
              <w:rPr>
                <w:rFonts w:eastAsia="Cambria" w:cs="Arial"/>
                <w:b/>
                <w:bCs/>
              </w:rPr>
            </w:pPr>
            <w:r w:rsidRPr="20456618">
              <w:rPr>
                <w:rFonts w:eastAsia="Cambria" w:cs="Arial"/>
                <w:b/>
                <w:bCs/>
              </w:rPr>
              <w:lastRenderedPageBreak/>
              <w:t>Place of Work</w:t>
            </w:r>
          </w:p>
        </w:tc>
        <w:tc>
          <w:tcPr>
            <w:tcW w:w="12191" w:type="dxa"/>
          </w:tcPr>
          <w:p w14:paraId="3CCD1980" w14:textId="416D4069" w:rsidR="4DB776B5" w:rsidRDefault="4DB776B5" w:rsidP="20456618">
            <w:pPr>
              <w:jc w:val="both"/>
              <w:rPr>
                <w:rFonts w:eastAsia="Cambria" w:cs="Arial"/>
              </w:rPr>
            </w:pPr>
            <w:r w:rsidRPr="20456618">
              <w:rPr>
                <w:rFonts w:eastAsia="Cambria" w:cs="Arial"/>
              </w:rPr>
              <w:t>Your place of work will be Fife House, North Street, Glenrothes. A blended workstyle arrangement applies, allowing flexibility in working from home and working from base to meet the demands of the role.</w:t>
            </w:r>
          </w:p>
        </w:tc>
      </w:tr>
      <w:tr w:rsidR="20456618" w14:paraId="37CAE741" w14:textId="77777777" w:rsidTr="20456618">
        <w:trPr>
          <w:trHeight w:val="77"/>
        </w:trPr>
        <w:tc>
          <w:tcPr>
            <w:tcW w:w="2410" w:type="dxa"/>
            <w:shd w:val="clear" w:color="auto" w:fill="D9D9D9" w:themeFill="background1" w:themeFillShade="D9"/>
          </w:tcPr>
          <w:p w14:paraId="5C14322D" w14:textId="5FA71A79" w:rsidR="4DB776B5" w:rsidRDefault="4DB776B5" w:rsidP="20456618">
            <w:pPr>
              <w:rPr>
                <w:rFonts w:eastAsia="Cambria" w:cs="Arial"/>
                <w:b/>
                <w:bCs/>
              </w:rPr>
            </w:pPr>
            <w:r w:rsidRPr="20456618">
              <w:rPr>
                <w:rFonts w:eastAsia="Cambria" w:cs="Arial"/>
                <w:b/>
                <w:bCs/>
              </w:rPr>
              <w:t>Relocation Expenses</w:t>
            </w:r>
          </w:p>
        </w:tc>
        <w:tc>
          <w:tcPr>
            <w:tcW w:w="12191" w:type="dxa"/>
          </w:tcPr>
          <w:p w14:paraId="1D836BB8" w14:textId="7707CBD8" w:rsidR="4DB776B5" w:rsidRDefault="4DB776B5" w:rsidP="20456618">
            <w:pPr>
              <w:jc w:val="both"/>
              <w:rPr>
                <w:rFonts w:eastAsia="Cambria" w:cs="Arial"/>
              </w:rPr>
            </w:pPr>
            <w:r w:rsidRPr="20456618">
              <w:rPr>
                <w:rFonts w:eastAsia="Cambria" w:cs="Arial"/>
              </w:rPr>
              <w:t xml:space="preserve">The Council can provide financial assistance up to a maximum of £5, 000 if you are moving home </w:t>
            </w:r>
            <w:proofErr w:type="gramStart"/>
            <w:r w:rsidRPr="20456618">
              <w:rPr>
                <w:rFonts w:eastAsia="Cambria" w:cs="Arial"/>
              </w:rPr>
              <w:t>in order to</w:t>
            </w:r>
            <w:proofErr w:type="gramEnd"/>
            <w:r w:rsidRPr="20456618">
              <w:rPr>
                <w:rFonts w:eastAsia="Cambria" w:cs="Arial"/>
              </w:rPr>
              <w:t xml:space="preserve"> take up an appointment with the Council. Further details can be found here RS13 Relocation guidelines.doc (fife.gov.uk)</w:t>
            </w:r>
          </w:p>
        </w:tc>
      </w:tr>
    </w:tbl>
    <w:p w14:paraId="1E97F846" w14:textId="0479343F" w:rsidR="00A900BC" w:rsidRDefault="00A900BC" w:rsidP="00832B55"/>
    <w:sectPr w:rsidR="00A900BC" w:rsidSect="002D5848">
      <w:headerReference w:type="default" r:id="rId15"/>
      <w:pgSz w:w="16838" w:h="11906" w:orient="landscape"/>
      <w:pgMar w:top="1985"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E55F" w14:textId="77777777" w:rsidR="00C0147A" w:rsidRDefault="00C0147A" w:rsidP="00C97467">
      <w:pPr>
        <w:spacing w:after="0"/>
      </w:pPr>
      <w:r>
        <w:separator/>
      </w:r>
    </w:p>
  </w:endnote>
  <w:endnote w:type="continuationSeparator" w:id="0">
    <w:p w14:paraId="416ACBA9" w14:textId="77777777" w:rsidR="00C0147A" w:rsidRDefault="00C0147A" w:rsidP="00C97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47248"/>
      <w:docPartObj>
        <w:docPartGallery w:val="Page Numbers (Bottom of Page)"/>
        <w:docPartUnique/>
      </w:docPartObj>
    </w:sdtPr>
    <w:sdtContent>
      <w:sdt>
        <w:sdtPr>
          <w:id w:val="-1769616900"/>
          <w:docPartObj>
            <w:docPartGallery w:val="Page Numbers (Top of Page)"/>
            <w:docPartUnique/>
          </w:docPartObj>
        </w:sdtPr>
        <w:sdtContent>
          <w:p w14:paraId="2EE17CB0" w14:textId="15546208" w:rsidR="00E60EBE" w:rsidRDefault="00E60EB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76AC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76ACE">
              <w:rPr>
                <w:b/>
                <w:bCs/>
                <w:noProof/>
              </w:rPr>
              <w:t>3</w:t>
            </w:r>
            <w:r>
              <w:rPr>
                <w:b/>
                <w:bCs/>
                <w:szCs w:val="24"/>
              </w:rPr>
              <w:fldChar w:fldCharType="end"/>
            </w:r>
          </w:p>
        </w:sdtContent>
      </w:sdt>
    </w:sdtContent>
  </w:sdt>
  <w:p w14:paraId="300571EE" w14:textId="77777777" w:rsidR="003F256D" w:rsidRDefault="003F2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591" w14:textId="77777777" w:rsidR="00C0147A" w:rsidRDefault="00C0147A" w:rsidP="00C97467">
      <w:pPr>
        <w:spacing w:after="0"/>
      </w:pPr>
      <w:r>
        <w:separator/>
      </w:r>
    </w:p>
  </w:footnote>
  <w:footnote w:type="continuationSeparator" w:id="0">
    <w:p w14:paraId="52302192" w14:textId="77777777" w:rsidR="00C0147A" w:rsidRDefault="00C0147A" w:rsidP="00C974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0B6" w14:textId="20189452" w:rsidR="003F256D" w:rsidRPr="009A61BF" w:rsidRDefault="009A61BF">
    <w:pPr>
      <w:pStyle w:val="Header"/>
      <w:rPr>
        <w:b/>
        <w:sz w:val="44"/>
        <w:szCs w:val="44"/>
      </w:rPr>
    </w:pPr>
    <w:r>
      <w:rPr>
        <w:noProof/>
        <w:lang w:eastAsia="en-GB"/>
      </w:rPr>
      <w:drawing>
        <wp:anchor distT="0" distB="0" distL="114300" distR="114300" simplePos="0" relativeHeight="251658240" behindDoc="0" locked="0" layoutInCell="1" allowOverlap="1" wp14:anchorId="43177845" wp14:editId="5F9500FE">
          <wp:simplePos x="0" y="0"/>
          <wp:positionH relativeFrom="column">
            <wp:posOffset>7638810</wp:posOffset>
          </wp:positionH>
          <wp:positionV relativeFrom="paragraph">
            <wp:posOffset>-243612</wp:posOffset>
          </wp:positionV>
          <wp:extent cx="1662430" cy="754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Logo_col.png"/>
                  <pic:cNvPicPr/>
                </pic:nvPicPr>
                <pic:blipFill>
                  <a:blip r:embed="rId1">
                    <a:extLst>
                      <a:ext uri="{28A0092B-C50C-407E-A947-70E740481C1C}">
                        <a14:useLocalDpi xmlns:a14="http://schemas.microsoft.com/office/drawing/2010/main" val="0"/>
                      </a:ext>
                    </a:extLst>
                  </a:blip>
                  <a:stretch>
                    <a:fillRect/>
                  </a:stretch>
                </pic:blipFill>
                <pic:spPr>
                  <a:xfrm>
                    <a:off x="0" y="0"/>
                    <a:ext cx="1662430" cy="754380"/>
                  </a:xfrm>
                  <a:prstGeom prst="rect">
                    <a:avLst/>
                  </a:prstGeom>
                </pic:spPr>
              </pic:pic>
            </a:graphicData>
          </a:graphic>
        </wp:anchor>
      </w:drawing>
    </w:r>
    <w:r w:rsidRPr="009A61BF">
      <w:rPr>
        <w:b/>
        <w:sz w:val="44"/>
        <w:szCs w:val="44"/>
      </w:rPr>
      <w:t>Summary of Terms and Conditions</w:t>
    </w:r>
    <w:r w:rsidRPr="009A61BF">
      <w:rPr>
        <w:noProof/>
        <w:lang w:eastAsia="en-GB"/>
      </w:rPr>
      <w:t xml:space="preserve"> </w:t>
    </w:r>
  </w:p>
  <w:p w14:paraId="71D2923B" w14:textId="50F74031" w:rsidR="009A61BF" w:rsidRDefault="009A61BF">
    <w:pPr>
      <w:pStyle w:val="Header"/>
      <w:rPr>
        <w:sz w:val="44"/>
        <w:szCs w:val="44"/>
      </w:rPr>
    </w:pPr>
    <w:r>
      <w:rPr>
        <w:sz w:val="44"/>
        <w:szCs w:val="44"/>
      </w:rPr>
      <w:t>Chief Officer</w:t>
    </w:r>
  </w:p>
  <w:p w14:paraId="0C6373EF" w14:textId="38666F3E" w:rsidR="009A61BF" w:rsidRPr="009A61BF" w:rsidRDefault="009A61BF">
    <w:pPr>
      <w:pStyle w:val="Header"/>
      <w:rPr>
        <w:sz w:val="44"/>
        <w:szCs w:val="44"/>
      </w:rPr>
    </w:pPr>
    <w:r w:rsidRPr="00333192">
      <w:rPr>
        <w:rFonts w:cs="Arial"/>
        <w:b/>
        <w:noProof/>
        <w:sz w:val="28"/>
        <w:szCs w:val="28"/>
        <w:lang w:eastAsia="en-GB"/>
      </w:rPr>
      <mc:AlternateContent>
        <mc:Choice Requires="wps">
          <w:drawing>
            <wp:anchor distT="0" distB="0" distL="114300" distR="114300" simplePos="0" relativeHeight="251660288" behindDoc="0" locked="0" layoutInCell="1" allowOverlap="1" wp14:anchorId="0D1C1139" wp14:editId="42EAB68E">
              <wp:simplePos x="0" y="0"/>
              <wp:positionH relativeFrom="column">
                <wp:posOffset>55880</wp:posOffset>
              </wp:positionH>
              <wp:positionV relativeFrom="paragraph">
                <wp:posOffset>65417</wp:posOffset>
              </wp:positionV>
              <wp:extent cx="9245049" cy="0"/>
              <wp:effectExtent l="0" t="0" r="32385" b="19050"/>
              <wp:wrapNone/>
              <wp:docPr id="13" name="Straight Connector 13"/>
              <wp:cNvGraphicFramePr/>
              <a:graphic xmlns:a="http://schemas.openxmlformats.org/drawingml/2006/main">
                <a:graphicData uri="http://schemas.microsoft.com/office/word/2010/wordprocessingShape">
                  <wps:wsp>
                    <wps:cNvCnPr/>
                    <wps:spPr>
                      <a:xfrm>
                        <a:off x="0" y="0"/>
                        <a:ext cx="924504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3"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from="4.4pt,5.15pt" to="732.35pt,5.15pt" w14:anchorId="390CA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2D0QEAAIoDAAAOAAAAZHJzL2Uyb0RvYy54bWysU8lu2zAQvRfIPxC813KcBYlgOQcb6aVo&#10;DST9gAlFSgS4YYa17L/vkHZcp70V1YGa4WiW9+Zp+bT3Tuw0ko2hk9ezuRQ6qNjbMHTyx+vz5wcp&#10;KEPowcWgO3nQJJ9WV5+WU2r1Io7R9RoFFwnUTqmTY86pbRpSo/ZAs5h04KCJ6CGzi0PTI0xc3btm&#10;MZ/fN1PEPmFUmohvN8egXNX6xmiVvxtDOgvXSZ4t1xPr+VbOZrWEdkBIo1WnMeAfpvBgAzc9l9pA&#10;BvET7V+lvFUYKZo8U9E30RirdMXAaK7nf6B5GSHpioXJoXSmif5fWfVtt0Vhe97djRQBPO/oJSPY&#10;YcxiHUNgBiMKDjJTU6KWE9ZhiyeP0hYL7L1BX94MSOwru4czu3qfheLLx8Xt3fz2UQr1Hmt+Jyak&#10;/EVHL4rRSWdDAQ4t7L5S5mb86fsn5TrEZ+tcXZ4LYurk/c0dr1cBS8g4yGz6xKAoDFKAG1ibKmOt&#10;SNHZvmSXOnSgtUOxA5YHq6qP0yuPK4UDyhxgDPUp4HmCD6llnA3QeEyuoaOavM0saWd9Jx8us10o&#10;HXUV5QlUIfRIYbHeYn+ozDbF44XXpidxFkVd+mxf/kKrXwAAAP//AwBQSwMEFAAGAAgAAAAhAIro&#10;jp7cAAAACAEAAA8AAABkcnMvZG93bnJldi54bWxMj81OwzAQhO9IvIO1SNyoDanaKsSpUFEP3EoK&#10;Ekc33vy08TqKnTa8PVtxgOPMrGa+zdaT68QZh9B60vA4UyCQSm9bqjV87LcPKxAhGrKm84QavjHA&#10;Or+9yUxq/YXe8VzEWnAJhdRoaGLsUylD2aAzYeZ7JM4qPzgTWQ61tIO5cLnr5JNSC+lMS7zQmB43&#10;DZanYnQaxt2mUu02mY5fSSHHt+Xu87Wqtb6/m16eQUSc4t8xXPEZHXJmOviRbBCdhhWDR7ZVAuIa&#10;zxfzJYjDryPzTP5/IP8BAAD//wMAUEsBAi0AFAAGAAgAAAAhALaDOJL+AAAA4QEAABMAAAAAAAAA&#10;AAAAAAAAAAAAAFtDb250ZW50X1R5cGVzXS54bWxQSwECLQAUAAYACAAAACEAOP0h/9YAAACUAQAA&#10;CwAAAAAAAAAAAAAAAAAvAQAAX3JlbHMvLnJlbHNQSwECLQAUAAYACAAAACEAQVUdg9EBAACKAwAA&#10;DgAAAAAAAAAAAAAAAAAuAgAAZHJzL2Uyb0RvYy54bWxQSwECLQAUAAYACAAAACEAiuiOntwAAAAI&#10;AQAADwAAAAAAAAAAAAAAAAArBAAAZHJzL2Rvd25yZXYueG1sUEsFBgAAAAAEAAQA8wAAADQFAAAA&#10;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41DD" w14:textId="77777777" w:rsidR="003F256D" w:rsidRPr="005614A4" w:rsidRDefault="003F256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31"/>
    <w:multiLevelType w:val="hybridMultilevel"/>
    <w:tmpl w:val="E24A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BD70"/>
    <w:multiLevelType w:val="hybridMultilevel"/>
    <w:tmpl w:val="45647CCE"/>
    <w:lvl w:ilvl="0" w:tplc="6F0ECA26">
      <w:start w:val="1"/>
      <w:numFmt w:val="bullet"/>
      <w:lvlText w:val=""/>
      <w:lvlJc w:val="left"/>
      <w:pPr>
        <w:ind w:left="720" w:hanging="360"/>
      </w:pPr>
      <w:rPr>
        <w:rFonts w:ascii="Symbol" w:hAnsi="Symbol" w:hint="default"/>
      </w:rPr>
    </w:lvl>
    <w:lvl w:ilvl="1" w:tplc="959896B2">
      <w:start w:val="1"/>
      <w:numFmt w:val="bullet"/>
      <w:lvlText w:val="o"/>
      <w:lvlJc w:val="left"/>
      <w:pPr>
        <w:ind w:left="1440" w:hanging="360"/>
      </w:pPr>
      <w:rPr>
        <w:rFonts w:ascii="Courier New" w:hAnsi="Courier New" w:hint="default"/>
      </w:rPr>
    </w:lvl>
    <w:lvl w:ilvl="2" w:tplc="9768FD04">
      <w:start w:val="1"/>
      <w:numFmt w:val="bullet"/>
      <w:lvlText w:val=""/>
      <w:lvlJc w:val="left"/>
      <w:pPr>
        <w:ind w:left="2160" w:hanging="360"/>
      </w:pPr>
      <w:rPr>
        <w:rFonts w:ascii="Wingdings" w:hAnsi="Wingdings" w:hint="default"/>
      </w:rPr>
    </w:lvl>
    <w:lvl w:ilvl="3" w:tplc="0A2ED412">
      <w:start w:val="1"/>
      <w:numFmt w:val="bullet"/>
      <w:lvlText w:val=""/>
      <w:lvlJc w:val="left"/>
      <w:pPr>
        <w:ind w:left="2880" w:hanging="360"/>
      </w:pPr>
      <w:rPr>
        <w:rFonts w:ascii="Symbol" w:hAnsi="Symbol" w:hint="default"/>
      </w:rPr>
    </w:lvl>
    <w:lvl w:ilvl="4" w:tplc="6A84B910">
      <w:start w:val="1"/>
      <w:numFmt w:val="bullet"/>
      <w:lvlText w:val="o"/>
      <w:lvlJc w:val="left"/>
      <w:pPr>
        <w:ind w:left="3600" w:hanging="360"/>
      </w:pPr>
      <w:rPr>
        <w:rFonts w:ascii="Courier New" w:hAnsi="Courier New" w:hint="default"/>
      </w:rPr>
    </w:lvl>
    <w:lvl w:ilvl="5" w:tplc="1B3E6AB4">
      <w:start w:val="1"/>
      <w:numFmt w:val="bullet"/>
      <w:lvlText w:val=""/>
      <w:lvlJc w:val="left"/>
      <w:pPr>
        <w:ind w:left="4320" w:hanging="360"/>
      </w:pPr>
      <w:rPr>
        <w:rFonts w:ascii="Wingdings" w:hAnsi="Wingdings" w:hint="default"/>
      </w:rPr>
    </w:lvl>
    <w:lvl w:ilvl="6" w:tplc="D88E508A">
      <w:start w:val="1"/>
      <w:numFmt w:val="bullet"/>
      <w:lvlText w:val=""/>
      <w:lvlJc w:val="left"/>
      <w:pPr>
        <w:ind w:left="5040" w:hanging="360"/>
      </w:pPr>
      <w:rPr>
        <w:rFonts w:ascii="Symbol" w:hAnsi="Symbol" w:hint="default"/>
      </w:rPr>
    </w:lvl>
    <w:lvl w:ilvl="7" w:tplc="3E745EFC">
      <w:start w:val="1"/>
      <w:numFmt w:val="bullet"/>
      <w:lvlText w:val="o"/>
      <w:lvlJc w:val="left"/>
      <w:pPr>
        <w:ind w:left="5760" w:hanging="360"/>
      </w:pPr>
      <w:rPr>
        <w:rFonts w:ascii="Courier New" w:hAnsi="Courier New" w:hint="default"/>
      </w:rPr>
    </w:lvl>
    <w:lvl w:ilvl="8" w:tplc="7BC6D1A4">
      <w:start w:val="1"/>
      <w:numFmt w:val="bullet"/>
      <w:lvlText w:val=""/>
      <w:lvlJc w:val="left"/>
      <w:pPr>
        <w:ind w:left="6480" w:hanging="360"/>
      </w:pPr>
      <w:rPr>
        <w:rFonts w:ascii="Wingdings" w:hAnsi="Wingdings" w:hint="default"/>
      </w:rPr>
    </w:lvl>
  </w:abstractNum>
  <w:abstractNum w:abstractNumId="2" w15:restartNumberingAfterBreak="0">
    <w:nsid w:val="03FC13CF"/>
    <w:multiLevelType w:val="hybridMultilevel"/>
    <w:tmpl w:val="60F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76480"/>
    <w:multiLevelType w:val="hybridMultilevel"/>
    <w:tmpl w:val="BB9E4E02"/>
    <w:lvl w:ilvl="0" w:tplc="5D54CA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0834"/>
    <w:multiLevelType w:val="hybridMultilevel"/>
    <w:tmpl w:val="DAFED4CC"/>
    <w:lvl w:ilvl="0" w:tplc="5D54CA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46D69"/>
    <w:multiLevelType w:val="hybridMultilevel"/>
    <w:tmpl w:val="41E4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92E17"/>
    <w:multiLevelType w:val="hybridMultilevel"/>
    <w:tmpl w:val="AEA0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074F6"/>
    <w:multiLevelType w:val="hybridMultilevel"/>
    <w:tmpl w:val="4A3AE660"/>
    <w:lvl w:ilvl="0" w:tplc="5D54CA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73E0D"/>
    <w:multiLevelType w:val="hybridMultilevel"/>
    <w:tmpl w:val="895032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9504905">
    <w:abstractNumId w:val="1"/>
  </w:num>
  <w:num w:numId="2" w16cid:durableId="617181992">
    <w:abstractNumId w:val="0"/>
  </w:num>
  <w:num w:numId="3" w16cid:durableId="1192961600">
    <w:abstractNumId w:val="5"/>
  </w:num>
  <w:num w:numId="4" w16cid:durableId="1754693408">
    <w:abstractNumId w:val="7"/>
  </w:num>
  <w:num w:numId="5" w16cid:durableId="658075450">
    <w:abstractNumId w:val="2"/>
  </w:num>
  <w:num w:numId="6" w16cid:durableId="2145736550">
    <w:abstractNumId w:val="4"/>
  </w:num>
  <w:num w:numId="7" w16cid:durableId="1018586100">
    <w:abstractNumId w:val="3"/>
  </w:num>
  <w:num w:numId="8" w16cid:durableId="1954554515">
    <w:abstractNumId w:val="6"/>
  </w:num>
  <w:num w:numId="9" w16cid:durableId="100683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3"/>
    <w:rsid w:val="0001703D"/>
    <w:rsid w:val="00056748"/>
    <w:rsid w:val="000B26BC"/>
    <w:rsid w:val="000C0255"/>
    <w:rsid w:val="00164E60"/>
    <w:rsid w:val="00183660"/>
    <w:rsid w:val="00190FE9"/>
    <w:rsid w:val="001F0E07"/>
    <w:rsid w:val="001F2F31"/>
    <w:rsid w:val="00217A59"/>
    <w:rsid w:val="002476F8"/>
    <w:rsid w:val="002651E2"/>
    <w:rsid w:val="00271B53"/>
    <w:rsid w:val="0027321B"/>
    <w:rsid w:val="00291CB9"/>
    <w:rsid w:val="002C09C3"/>
    <w:rsid w:val="002D5848"/>
    <w:rsid w:val="002D60DE"/>
    <w:rsid w:val="00307930"/>
    <w:rsid w:val="00332F67"/>
    <w:rsid w:val="00333102"/>
    <w:rsid w:val="003534EC"/>
    <w:rsid w:val="0036116E"/>
    <w:rsid w:val="00376ACE"/>
    <w:rsid w:val="003B3420"/>
    <w:rsid w:val="003F256D"/>
    <w:rsid w:val="004D7EE1"/>
    <w:rsid w:val="004E0A20"/>
    <w:rsid w:val="0052420C"/>
    <w:rsid w:val="005275F8"/>
    <w:rsid w:val="00560445"/>
    <w:rsid w:val="005614A4"/>
    <w:rsid w:val="005C5B18"/>
    <w:rsid w:val="005E5C06"/>
    <w:rsid w:val="005F0009"/>
    <w:rsid w:val="006077D1"/>
    <w:rsid w:val="0061488E"/>
    <w:rsid w:val="00661E6C"/>
    <w:rsid w:val="006A550A"/>
    <w:rsid w:val="00717D0C"/>
    <w:rsid w:val="00760ED2"/>
    <w:rsid w:val="007725E4"/>
    <w:rsid w:val="007766C3"/>
    <w:rsid w:val="00784008"/>
    <w:rsid w:val="00795790"/>
    <w:rsid w:val="007B5EAD"/>
    <w:rsid w:val="00832B55"/>
    <w:rsid w:val="0087359C"/>
    <w:rsid w:val="00882E08"/>
    <w:rsid w:val="00917E88"/>
    <w:rsid w:val="00970957"/>
    <w:rsid w:val="009A61BF"/>
    <w:rsid w:val="009F62F8"/>
    <w:rsid w:val="00A352F3"/>
    <w:rsid w:val="00A900BC"/>
    <w:rsid w:val="00AA43E7"/>
    <w:rsid w:val="00AA73CD"/>
    <w:rsid w:val="00BA2F80"/>
    <w:rsid w:val="00BB1349"/>
    <w:rsid w:val="00BC0594"/>
    <w:rsid w:val="00BD2A40"/>
    <w:rsid w:val="00C0147A"/>
    <w:rsid w:val="00C27C79"/>
    <w:rsid w:val="00C97467"/>
    <w:rsid w:val="00CD4BEB"/>
    <w:rsid w:val="00CD781F"/>
    <w:rsid w:val="00D05102"/>
    <w:rsid w:val="00D1621D"/>
    <w:rsid w:val="00D977B7"/>
    <w:rsid w:val="00E121C3"/>
    <w:rsid w:val="00E251E3"/>
    <w:rsid w:val="00E60EBE"/>
    <w:rsid w:val="00E74BDA"/>
    <w:rsid w:val="00E75113"/>
    <w:rsid w:val="00EC7FEA"/>
    <w:rsid w:val="00ED59E0"/>
    <w:rsid w:val="00EF5C71"/>
    <w:rsid w:val="00F01E61"/>
    <w:rsid w:val="00F50CEC"/>
    <w:rsid w:val="00F83967"/>
    <w:rsid w:val="03D00EEC"/>
    <w:rsid w:val="10B4124B"/>
    <w:rsid w:val="1C8B6289"/>
    <w:rsid w:val="20456618"/>
    <w:rsid w:val="239DAD7A"/>
    <w:rsid w:val="26E0A61B"/>
    <w:rsid w:val="354C79DE"/>
    <w:rsid w:val="35619A45"/>
    <w:rsid w:val="3C9A52E5"/>
    <w:rsid w:val="49C4B6FF"/>
    <w:rsid w:val="4A810408"/>
    <w:rsid w:val="4C6DA6B9"/>
    <w:rsid w:val="4DB776B5"/>
    <w:rsid w:val="4FB43AC7"/>
    <w:rsid w:val="506CCDBE"/>
    <w:rsid w:val="55F31AA2"/>
    <w:rsid w:val="584C1F00"/>
    <w:rsid w:val="620B9BD6"/>
    <w:rsid w:val="642568DD"/>
    <w:rsid w:val="646486F0"/>
    <w:rsid w:val="6AEE41E8"/>
    <w:rsid w:val="70969F96"/>
    <w:rsid w:val="73AFE113"/>
    <w:rsid w:val="754AAA63"/>
    <w:rsid w:val="7712DE97"/>
    <w:rsid w:val="7E7474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FD6A1"/>
  <w15:docId w15:val="{4A56A59C-EA9D-4A23-ABCB-922E14D6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D2"/>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661E6C"/>
    <w:pPr>
      <w:keepNext/>
      <w:keepLines/>
      <w:pBdr>
        <w:bottom w:val="single" w:sz="4" w:space="4" w:color="004B64"/>
      </w:pBdr>
      <w:spacing w:before="360"/>
      <w:outlineLvl w:val="0"/>
    </w:pPr>
    <w:rPr>
      <w:rFonts w:eastAsiaTheme="majorEastAsia" w:cstheme="majorBidi"/>
      <w:b/>
      <w:color w:val="004B64"/>
      <w:sz w:val="44"/>
      <w:szCs w:val="32"/>
    </w:rPr>
  </w:style>
  <w:style w:type="paragraph" w:styleId="Heading2">
    <w:name w:val="heading 2"/>
    <w:basedOn w:val="Heading1"/>
    <w:next w:val="Normal"/>
    <w:link w:val="Heading2Char"/>
    <w:uiPriority w:val="9"/>
    <w:unhideWhenUsed/>
    <w:qFormat/>
    <w:rsid w:val="00AA73CD"/>
    <w:pPr>
      <w:outlineLvl w:val="1"/>
    </w:pPr>
    <w:rPr>
      <w:bCs/>
      <w:sz w:val="36"/>
      <w:szCs w:val="26"/>
    </w:rPr>
  </w:style>
  <w:style w:type="paragraph" w:styleId="Heading3">
    <w:name w:val="heading 3"/>
    <w:basedOn w:val="Normal"/>
    <w:next w:val="Normal"/>
    <w:link w:val="Heading3Char"/>
    <w:uiPriority w:val="9"/>
    <w:unhideWhenUsed/>
    <w:qFormat/>
    <w:rsid w:val="00661E6C"/>
    <w:pPr>
      <w:keepNext/>
      <w:keepLines/>
      <w:spacing w:before="360" w:after="180"/>
      <w:outlineLvl w:val="2"/>
    </w:pPr>
    <w:rPr>
      <w:rFonts w:eastAsiaTheme="majorEastAsia" w:cstheme="majorBidi"/>
      <w:b/>
      <w:bCs/>
      <w:color w:val="004B6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121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E121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121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E12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121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61E6C"/>
    <w:rPr>
      <w:rFonts w:ascii="Arial" w:eastAsiaTheme="majorEastAsia" w:hAnsi="Arial" w:cstheme="majorBidi"/>
      <w:b/>
      <w:color w:val="004B64"/>
      <w:sz w:val="44"/>
      <w:szCs w:val="32"/>
    </w:rPr>
  </w:style>
  <w:style w:type="table" w:customStyle="1" w:styleId="TableGridLight1">
    <w:name w:val="Table Grid Light1"/>
    <w:basedOn w:val="TableNormal"/>
    <w:uiPriority w:val="40"/>
    <w:rsid w:val="00164E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97467"/>
    <w:rPr>
      <w:color w:val="0563C1" w:themeColor="hyperlink"/>
      <w:u w:val="single"/>
    </w:rPr>
  </w:style>
  <w:style w:type="paragraph" w:styleId="Header">
    <w:name w:val="header"/>
    <w:basedOn w:val="Normal"/>
    <w:link w:val="HeaderChar"/>
    <w:uiPriority w:val="99"/>
    <w:unhideWhenUsed/>
    <w:rsid w:val="00C97467"/>
    <w:pPr>
      <w:tabs>
        <w:tab w:val="center" w:pos="4513"/>
        <w:tab w:val="right" w:pos="9026"/>
      </w:tabs>
      <w:spacing w:after="0"/>
    </w:pPr>
  </w:style>
  <w:style w:type="character" w:customStyle="1" w:styleId="HeaderChar">
    <w:name w:val="Header Char"/>
    <w:basedOn w:val="DefaultParagraphFont"/>
    <w:link w:val="Header"/>
    <w:uiPriority w:val="99"/>
    <w:rsid w:val="00C97467"/>
  </w:style>
  <w:style w:type="paragraph" w:styleId="Footer">
    <w:name w:val="footer"/>
    <w:basedOn w:val="Normal"/>
    <w:link w:val="FooterChar"/>
    <w:uiPriority w:val="99"/>
    <w:unhideWhenUsed/>
    <w:rsid w:val="00C97467"/>
    <w:pPr>
      <w:tabs>
        <w:tab w:val="center" w:pos="4513"/>
        <w:tab w:val="right" w:pos="9026"/>
      </w:tabs>
      <w:spacing w:after="0"/>
    </w:pPr>
  </w:style>
  <w:style w:type="character" w:customStyle="1" w:styleId="FooterChar">
    <w:name w:val="Footer Char"/>
    <w:basedOn w:val="DefaultParagraphFont"/>
    <w:link w:val="Footer"/>
    <w:uiPriority w:val="99"/>
    <w:rsid w:val="00C97467"/>
  </w:style>
  <w:style w:type="paragraph" w:styleId="BalloonText">
    <w:name w:val="Balloon Text"/>
    <w:basedOn w:val="Normal"/>
    <w:link w:val="BalloonTextChar"/>
    <w:uiPriority w:val="99"/>
    <w:semiHidden/>
    <w:unhideWhenUsed/>
    <w:rsid w:val="00E74B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DA"/>
    <w:rPr>
      <w:rFonts w:ascii="Segoe UI" w:hAnsi="Segoe UI" w:cs="Segoe UI"/>
      <w:sz w:val="18"/>
      <w:szCs w:val="18"/>
    </w:rPr>
  </w:style>
  <w:style w:type="character" w:styleId="CommentReference">
    <w:name w:val="annotation reference"/>
    <w:basedOn w:val="DefaultParagraphFont"/>
    <w:uiPriority w:val="99"/>
    <w:semiHidden/>
    <w:unhideWhenUsed/>
    <w:rsid w:val="00E74BDA"/>
    <w:rPr>
      <w:sz w:val="16"/>
      <w:szCs w:val="16"/>
    </w:rPr>
  </w:style>
  <w:style w:type="paragraph" w:styleId="CommentText">
    <w:name w:val="annotation text"/>
    <w:basedOn w:val="Normal"/>
    <w:link w:val="CommentTextChar"/>
    <w:uiPriority w:val="99"/>
    <w:semiHidden/>
    <w:unhideWhenUsed/>
    <w:rsid w:val="00E74BDA"/>
    <w:rPr>
      <w:sz w:val="20"/>
      <w:szCs w:val="20"/>
    </w:rPr>
  </w:style>
  <w:style w:type="character" w:customStyle="1" w:styleId="CommentTextChar">
    <w:name w:val="Comment Text Char"/>
    <w:basedOn w:val="DefaultParagraphFont"/>
    <w:link w:val="CommentText"/>
    <w:uiPriority w:val="99"/>
    <w:semiHidden/>
    <w:rsid w:val="00E74BDA"/>
    <w:rPr>
      <w:sz w:val="20"/>
      <w:szCs w:val="20"/>
    </w:rPr>
  </w:style>
  <w:style w:type="paragraph" w:styleId="CommentSubject">
    <w:name w:val="annotation subject"/>
    <w:basedOn w:val="CommentText"/>
    <w:next w:val="CommentText"/>
    <w:link w:val="CommentSubjectChar"/>
    <w:uiPriority w:val="99"/>
    <w:semiHidden/>
    <w:unhideWhenUsed/>
    <w:rsid w:val="00E74BDA"/>
    <w:rPr>
      <w:b/>
      <w:bCs/>
    </w:rPr>
  </w:style>
  <w:style w:type="character" w:customStyle="1" w:styleId="CommentSubjectChar">
    <w:name w:val="Comment Subject Char"/>
    <w:basedOn w:val="CommentTextChar"/>
    <w:link w:val="CommentSubject"/>
    <w:uiPriority w:val="99"/>
    <w:semiHidden/>
    <w:rsid w:val="00E74BDA"/>
    <w:rPr>
      <w:b/>
      <w:bCs/>
      <w:sz w:val="20"/>
      <w:szCs w:val="20"/>
    </w:rPr>
  </w:style>
  <w:style w:type="paragraph" w:styleId="ListParagraph">
    <w:name w:val="List Paragraph"/>
    <w:basedOn w:val="Normal"/>
    <w:uiPriority w:val="34"/>
    <w:qFormat/>
    <w:rsid w:val="00661E6C"/>
    <w:pPr>
      <w:ind w:left="720"/>
      <w:contextualSpacing/>
    </w:pPr>
  </w:style>
  <w:style w:type="character" w:customStyle="1" w:styleId="Heading3Char">
    <w:name w:val="Heading 3 Char"/>
    <w:basedOn w:val="DefaultParagraphFont"/>
    <w:link w:val="Heading3"/>
    <w:uiPriority w:val="9"/>
    <w:rsid w:val="00661E6C"/>
    <w:rPr>
      <w:rFonts w:ascii="Arial" w:eastAsiaTheme="majorEastAsia" w:hAnsi="Arial" w:cstheme="majorBidi"/>
      <w:b/>
      <w:bCs/>
      <w:color w:val="004B64"/>
      <w:sz w:val="32"/>
    </w:rPr>
  </w:style>
  <w:style w:type="character" w:customStyle="1" w:styleId="Heading2Char">
    <w:name w:val="Heading 2 Char"/>
    <w:basedOn w:val="DefaultParagraphFont"/>
    <w:link w:val="Heading2"/>
    <w:uiPriority w:val="9"/>
    <w:rsid w:val="00AA73CD"/>
    <w:rPr>
      <w:rFonts w:ascii="Arial" w:eastAsiaTheme="majorEastAsia" w:hAnsi="Arial" w:cstheme="majorBidi"/>
      <w:b/>
      <w:bCs/>
      <w:color w:val="004B64"/>
      <w:sz w:val="36"/>
      <w:szCs w:val="26"/>
    </w:rPr>
  </w:style>
  <w:style w:type="character" w:styleId="FollowedHyperlink">
    <w:name w:val="FollowedHyperlink"/>
    <w:basedOn w:val="DefaultParagraphFont"/>
    <w:uiPriority w:val="99"/>
    <w:semiHidden/>
    <w:unhideWhenUsed/>
    <w:rsid w:val="005614A4"/>
    <w:rPr>
      <w:color w:val="954F72" w:themeColor="followedHyperlink"/>
      <w:u w:val="single"/>
    </w:rPr>
  </w:style>
  <w:style w:type="paragraph" w:customStyle="1" w:styleId="servicetitle">
    <w:name w:val="service title"/>
    <w:basedOn w:val="Heading3"/>
    <w:qFormat/>
    <w:rsid w:val="0052420C"/>
    <w:pPr>
      <w:shd w:val="clear" w:color="auto" w:fill="CD172F"/>
      <w:spacing w:before="120" w:after="60"/>
    </w:pPr>
    <w:rPr>
      <w:rFonts w:ascii="Helvetica" w:hAnsi="Helvetica"/>
      <w:color w:val="FFFFFF" w:themeColor="background1"/>
      <w:sz w:val="28"/>
      <w:szCs w:val="20"/>
      <w:lang w:eastAsia="ja-JP"/>
    </w:rPr>
  </w:style>
  <w:style w:type="paragraph" w:customStyle="1" w:styleId="JobTitle">
    <w:name w:val="Job Title"/>
    <w:basedOn w:val="Heading1"/>
    <w:qFormat/>
    <w:rsid w:val="0052420C"/>
    <w:pPr>
      <w:pBdr>
        <w:bottom w:val="none" w:sz="0" w:space="0" w:color="auto"/>
      </w:pBdr>
      <w:outlineLvl w:val="9"/>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7" Type="http://schemas.openxmlformats.org/officeDocument/2006/relationships/styles" Target="style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3979</Characters>
  <Application>Microsoft Office Word</Application>
  <DocSecurity>0</DocSecurity>
  <Lines>33</Lines>
  <Paragraphs>9</Paragraphs>
  <ScaleCrop>false</ScaleCrop>
  <Company>Fife Council</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Terms and Conditions CO</dc:title>
  <dc:subject/>
  <dc:creator>Gemma Wright</dc:creator>
  <cp:keywords/>
  <dc:description/>
  <cp:lastModifiedBy>Lee-Anne French</cp:lastModifiedBy>
  <cp:revision>2</cp:revision>
  <cp:lastPrinted>2019-01-24T09:16:00Z</cp:lastPrinted>
  <dcterms:created xsi:type="dcterms:W3CDTF">2024-09-17T14:11:00Z</dcterms:created>
  <dcterms:modified xsi:type="dcterms:W3CDTF">2024-09-17T14:11:00Z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0x010100A2637EAA83360140BB49E0F830C79BBC01001767510B95F1E740A67BAE7B87566442</vt:lpwstr>
  </property>
  <property fmtid="{D5CDD505-2E9C-101B-9397-08002B2CF9AE}" pid="3" name="RecordPoint_WorkflowType">
    <vt:lpwstr>ActiveSubmitStub</vt:lpwstr>
  </property>
  <property fmtid="{D5CDD505-2E9C-101B-9397-08002B2CF9AE}" pid="4" name="RecordPoint_ActiveItemSiteId">
    <vt:lpwstr>{11071176-d762-4217-9c14-fdd42ff49dd5}</vt:lpwstr>
  </property>
  <property fmtid="{D5CDD505-2E9C-101B-9397-08002B2CF9AE}" pid="5" name="RecordPoint_ActiveItemListId">
    <vt:lpwstr>{c2a83677-dfb9-4970-8f55-74eed03c866a}</vt:lpwstr>
  </property>
  <property fmtid="{D5CDD505-2E9C-101B-9397-08002B2CF9AE}" pid="6" name="RecordPoint_ActiveItemUniqueId">
    <vt:lpwstr>{a80480e6-3385-4e7c-8324-c339d8e84eb9}</vt:lpwstr>
  </property>
  <property fmtid="{D5CDD505-2E9C-101B-9397-08002B2CF9AE}" pid="7" name="RecordPoint_ActiveItemWebId">
    <vt:lpwstr>{19416696-554a-47a5-b3c3-213a0a9611e0}</vt:lpwstr>
  </property>
  <property fmtid="{D5CDD505-2E9C-101B-9397-08002B2CF9AE}" pid="8" name="RecordPoint_RecordNumberSubmitted">
    <vt:lpwstr>R0000400029</vt:lpwstr>
  </property>
  <property fmtid="{D5CDD505-2E9C-101B-9397-08002B2CF9AE}" pid="9" name="RecordPoint_SubmissionCompleted">
    <vt:lpwstr>2019-05-02T17:03:34.8347989+01:00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_spia_rule">
    <vt:lpwstr>b17b80d0-0020-43a1-b861-91db6ecb5864</vt:lpwstr>
  </property>
  <property fmtid="{D5CDD505-2E9C-101B-9397-08002B2CF9AE}" pid="14" name="_docset_NoMedatataSyncRequired">
    <vt:lpwstr>False</vt:lpwstr>
  </property>
  <property fmtid="{D5CDD505-2E9C-101B-9397-08002B2CF9AE}" pid="15" name="_spia_type">
    <vt:lpwstr>aging|28cf69c5-fa48-462a-b5cd-27b6f9d2bd5f</vt:lpwstr>
  </property>
  <property fmtid="{D5CDD505-2E9C-101B-9397-08002B2CF9AE}" pid="16" name="_spia_result">
    <vt:lpwstr>74281b2d-5a76-42dd-b6d7-3725c7207374</vt:lpwstr>
  </property>
  <property fmtid="{D5CDD505-2E9C-101B-9397-08002B2CF9AE}" pid="17" name="Order">
    <vt:r8>256500</vt:r8>
  </property>
  <property fmtid="{D5CDD505-2E9C-101B-9397-08002B2CF9AE}" pid="18" name="EmailCC">
    <vt:lpwstr/>
  </property>
  <property fmtid="{D5CDD505-2E9C-101B-9397-08002B2CF9AE}" pid="19" name="DocumentSetDescription">
    <vt:lpwstr/>
  </property>
  <property fmtid="{D5CDD505-2E9C-101B-9397-08002B2CF9AE}" pid="20" name="EmailSubject1">
    <vt:lpwstr/>
  </property>
  <property fmtid="{D5CDD505-2E9C-101B-9397-08002B2CF9AE}" pid="21" name="EmailFrom1">
    <vt:lpwstr/>
  </property>
  <property fmtid="{D5CDD505-2E9C-101B-9397-08002B2CF9AE}" pid="22" name="EmailTo1">
    <vt:lpwstr/>
  </property>
  <property fmtid="{D5CDD505-2E9C-101B-9397-08002B2CF9AE}" pid="23" name="EmailBCC">
    <vt:lpwstr/>
  </property>
  <property fmtid="{D5CDD505-2E9C-101B-9397-08002B2CF9AE}" pid="24" name="_dlc_policyId">
    <vt:lpwstr>/sites/humres/humres-cm-dc/ChiefOfficersRecruitmentCases</vt:lpwstr>
  </property>
  <property fmtid="{D5CDD505-2E9C-101B-9397-08002B2CF9AE}" pid="25" name="_dlc_ExpireDate">
    <vt:filetime>2025-09-17T11:50:25Z</vt:filetime>
  </property>
  <property fmtid="{D5CDD505-2E9C-101B-9397-08002B2CF9AE}" pid="2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